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12A" w:rsidRDefault="0095412A">
      <w:pPr>
        <w:spacing w:after="200" w:line="276" w:lineRule="auto"/>
        <w:rPr>
          <w:rFonts w:ascii="Avenir Book" w:hAnsi="Avenir Book"/>
          <w:b/>
          <w:sz w:val="21"/>
          <w:szCs w:val="21"/>
        </w:rPr>
      </w:pPr>
      <w:r>
        <w:rPr>
          <w:rFonts w:ascii="Avenir Book" w:hAnsi="Avenir Book"/>
          <w:b/>
          <w:sz w:val="21"/>
          <w:szCs w:val="21"/>
        </w:rPr>
        <w:t>TABLE OF CONTENTS</w:t>
      </w:r>
    </w:p>
    <w:p w:rsidR="004A7C8A" w:rsidRDefault="004A7C8A">
      <w:pPr>
        <w:spacing w:after="200" w:line="276" w:lineRule="auto"/>
        <w:rPr>
          <w:rFonts w:ascii="Avenir Book" w:hAnsi="Avenir Book"/>
          <w:b/>
          <w:sz w:val="21"/>
          <w:szCs w:val="21"/>
        </w:rPr>
      </w:pPr>
    </w:p>
    <w:p w:rsidR="0095412A" w:rsidRPr="0095412A" w:rsidRDefault="0095412A" w:rsidP="00BA42C1">
      <w:pPr>
        <w:spacing w:after="280" w:line="276" w:lineRule="auto"/>
        <w:rPr>
          <w:rFonts w:ascii="Avenir Book" w:hAnsi="Avenir Book"/>
          <w:sz w:val="21"/>
          <w:szCs w:val="21"/>
        </w:rPr>
      </w:pPr>
      <w:r>
        <w:rPr>
          <w:rFonts w:ascii="Avenir Book" w:hAnsi="Avenir Book"/>
          <w:sz w:val="21"/>
          <w:szCs w:val="21"/>
        </w:rPr>
        <w:t xml:space="preserve">I.  </w:t>
      </w:r>
      <w:r w:rsidRPr="0095412A">
        <w:rPr>
          <w:rFonts w:ascii="Avenir Book" w:hAnsi="Avenir Book"/>
          <w:sz w:val="21"/>
          <w:szCs w:val="21"/>
        </w:rPr>
        <w:t>INTRODUCTION AND DISCLAIMER</w:t>
      </w:r>
      <w:r w:rsidR="0031561E">
        <w:rPr>
          <w:rFonts w:ascii="Avenir Book" w:hAnsi="Avenir Book"/>
          <w:sz w:val="21"/>
          <w:szCs w:val="21"/>
        </w:rPr>
        <w:t xml:space="preserve">……………………………………………………….…   </w:t>
      </w:r>
      <w:r w:rsidR="004A7C8A">
        <w:rPr>
          <w:rFonts w:ascii="Avenir Book" w:hAnsi="Avenir Book"/>
          <w:sz w:val="21"/>
          <w:szCs w:val="21"/>
        </w:rPr>
        <w:t>2</w:t>
      </w:r>
    </w:p>
    <w:p w:rsidR="0095412A" w:rsidRPr="0095412A" w:rsidRDefault="0095412A" w:rsidP="00BA42C1">
      <w:pPr>
        <w:spacing w:after="280" w:line="276" w:lineRule="auto"/>
        <w:rPr>
          <w:rFonts w:ascii="Avenir Book" w:hAnsi="Avenir Book"/>
          <w:sz w:val="21"/>
          <w:szCs w:val="21"/>
        </w:rPr>
      </w:pPr>
      <w:r>
        <w:rPr>
          <w:rFonts w:ascii="Avenir Book" w:hAnsi="Avenir Book"/>
          <w:sz w:val="21"/>
          <w:szCs w:val="21"/>
        </w:rPr>
        <w:t xml:space="preserve">II.  </w:t>
      </w:r>
      <w:r w:rsidRPr="0095412A">
        <w:rPr>
          <w:rFonts w:ascii="Avenir Book" w:hAnsi="Avenir Book"/>
          <w:sz w:val="21"/>
          <w:szCs w:val="21"/>
        </w:rPr>
        <w:t>DISABILITY ACCESS LAW OVERVIEW</w:t>
      </w:r>
      <w:r w:rsidR="004A7C8A">
        <w:rPr>
          <w:rFonts w:ascii="Avenir Book" w:hAnsi="Avenir Book"/>
          <w:sz w:val="21"/>
          <w:szCs w:val="21"/>
        </w:rPr>
        <w:t>………………………………...……..……………...    3</w:t>
      </w:r>
    </w:p>
    <w:p w:rsidR="0095412A" w:rsidRDefault="0095412A" w:rsidP="00BA42C1">
      <w:pPr>
        <w:spacing w:after="280" w:line="276" w:lineRule="auto"/>
        <w:rPr>
          <w:rFonts w:ascii="Avenir Book" w:hAnsi="Avenir Book"/>
          <w:sz w:val="21"/>
          <w:szCs w:val="21"/>
        </w:rPr>
      </w:pPr>
      <w:r>
        <w:rPr>
          <w:rFonts w:ascii="Avenir Book" w:hAnsi="Avenir Book"/>
          <w:sz w:val="21"/>
          <w:szCs w:val="21"/>
        </w:rPr>
        <w:t xml:space="preserve">III.  </w:t>
      </w:r>
      <w:r w:rsidRPr="0095412A">
        <w:rPr>
          <w:rFonts w:ascii="Avenir Book" w:hAnsi="Avenir Book"/>
          <w:sz w:val="21"/>
          <w:szCs w:val="21"/>
        </w:rPr>
        <w:t>UNDERSTANDING YOUR OBLIGATIONS AS A LANDLORD OR A TENANT</w:t>
      </w:r>
      <w:r w:rsidR="004A7C8A">
        <w:rPr>
          <w:rFonts w:ascii="Avenir Book" w:hAnsi="Avenir Book"/>
          <w:sz w:val="21"/>
          <w:szCs w:val="21"/>
        </w:rPr>
        <w:t>………….  12</w:t>
      </w:r>
    </w:p>
    <w:p w:rsidR="004A7C8A" w:rsidRDefault="0095412A" w:rsidP="00BA42C1">
      <w:pPr>
        <w:spacing w:after="280"/>
        <w:rPr>
          <w:rFonts w:ascii="Avenir Book" w:hAnsi="Avenir Book"/>
          <w:sz w:val="21"/>
          <w:szCs w:val="21"/>
        </w:rPr>
      </w:pPr>
      <w:r>
        <w:rPr>
          <w:rFonts w:ascii="Avenir Book" w:hAnsi="Avenir Book"/>
          <w:sz w:val="21"/>
          <w:szCs w:val="21"/>
        </w:rPr>
        <w:t xml:space="preserve">IV.  PARKING, ACCESSIBLE ROUTES, AND PATHS OF TRAVEL – </w:t>
      </w:r>
    </w:p>
    <w:p w:rsidR="0095412A" w:rsidRDefault="0095412A" w:rsidP="00BA42C1">
      <w:pPr>
        <w:spacing w:after="280" w:line="276" w:lineRule="auto"/>
        <w:ind w:left="360"/>
        <w:rPr>
          <w:rFonts w:ascii="Avenir Book" w:hAnsi="Avenir Book"/>
          <w:sz w:val="21"/>
          <w:szCs w:val="21"/>
        </w:rPr>
      </w:pPr>
      <w:r>
        <w:rPr>
          <w:rFonts w:ascii="Avenir Book" w:hAnsi="Avenir Book"/>
          <w:sz w:val="21"/>
          <w:szCs w:val="21"/>
        </w:rPr>
        <w:t>GETTING IN THE DOOR</w:t>
      </w:r>
      <w:r w:rsidR="004A7C8A">
        <w:rPr>
          <w:rFonts w:ascii="Avenir Book" w:hAnsi="Avenir Book"/>
          <w:sz w:val="21"/>
          <w:szCs w:val="21"/>
        </w:rPr>
        <w:t>……………………………………………………………………..  13</w:t>
      </w:r>
    </w:p>
    <w:p w:rsidR="0095412A" w:rsidRDefault="0095412A" w:rsidP="00BA42C1">
      <w:pPr>
        <w:spacing w:after="280" w:line="276" w:lineRule="auto"/>
        <w:rPr>
          <w:rFonts w:ascii="Avenir Book" w:hAnsi="Avenir Book"/>
          <w:sz w:val="21"/>
          <w:szCs w:val="21"/>
        </w:rPr>
      </w:pPr>
      <w:r>
        <w:rPr>
          <w:rFonts w:ascii="Avenir Book" w:hAnsi="Avenir Book"/>
          <w:sz w:val="21"/>
          <w:szCs w:val="21"/>
        </w:rPr>
        <w:t>V.  ACCESSIBLE SIGNS</w:t>
      </w:r>
      <w:r w:rsidR="0031561E">
        <w:rPr>
          <w:rFonts w:ascii="Avenir Book" w:hAnsi="Avenir Book"/>
          <w:sz w:val="21"/>
          <w:szCs w:val="21"/>
        </w:rPr>
        <w:t>…………………………………………………………………………...  1</w:t>
      </w:r>
      <w:r w:rsidR="004A7C8A">
        <w:rPr>
          <w:rFonts w:ascii="Avenir Book" w:hAnsi="Avenir Book"/>
          <w:sz w:val="21"/>
          <w:szCs w:val="21"/>
        </w:rPr>
        <w:t>7</w:t>
      </w:r>
    </w:p>
    <w:p w:rsidR="0095412A" w:rsidRDefault="0095412A" w:rsidP="00BA42C1">
      <w:pPr>
        <w:spacing w:after="280" w:line="276" w:lineRule="auto"/>
        <w:rPr>
          <w:rFonts w:ascii="Avenir Book" w:hAnsi="Avenir Book"/>
          <w:sz w:val="21"/>
          <w:szCs w:val="21"/>
        </w:rPr>
      </w:pPr>
      <w:r>
        <w:rPr>
          <w:rFonts w:ascii="Avenir Book" w:hAnsi="Avenir Book"/>
          <w:sz w:val="21"/>
          <w:szCs w:val="21"/>
        </w:rPr>
        <w:t>VI</w:t>
      </w:r>
      <w:proofErr w:type="gramStart"/>
      <w:r>
        <w:rPr>
          <w:rFonts w:ascii="Avenir Book" w:hAnsi="Avenir Book"/>
          <w:sz w:val="21"/>
          <w:szCs w:val="21"/>
        </w:rPr>
        <w:t>.  ACCESS</w:t>
      </w:r>
      <w:proofErr w:type="gramEnd"/>
      <w:r>
        <w:rPr>
          <w:rFonts w:ascii="Avenir Book" w:hAnsi="Avenir Book"/>
          <w:sz w:val="21"/>
          <w:szCs w:val="21"/>
        </w:rPr>
        <w:t xml:space="preserve"> TO MERCHANDISE AND STORE LAYOUT</w:t>
      </w:r>
      <w:r w:rsidR="004A7C8A">
        <w:rPr>
          <w:rFonts w:ascii="Avenir Book" w:hAnsi="Avenir Book"/>
          <w:sz w:val="21"/>
          <w:szCs w:val="21"/>
        </w:rPr>
        <w:t>…………………………….……….  19</w:t>
      </w:r>
    </w:p>
    <w:p w:rsidR="0095412A" w:rsidRDefault="004A7C8A" w:rsidP="00BA42C1">
      <w:pPr>
        <w:spacing w:after="280" w:line="276" w:lineRule="auto"/>
        <w:rPr>
          <w:rFonts w:ascii="Avenir Book" w:hAnsi="Avenir Book"/>
          <w:sz w:val="21"/>
          <w:szCs w:val="21"/>
        </w:rPr>
      </w:pPr>
      <w:r>
        <w:rPr>
          <w:rFonts w:ascii="Avenir Book" w:hAnsi="Avenir Book"/>
          <w:sz w:val="21"/>
          <w:szCs w:val="21"/>
        </w:rPr>
        <w:t xml:space="preserve">VII.  </w:t>
      </w:r>
      <w:r w:rsidR="0095412A">
        <w:rPr>
          <w:rFonts w:ascii="Avenir Book" w:hAnsi="Avenir Book"/>
          <w:sz w:val="21"/>
          <w:szCs w:val="21"/>
        </w:rPr>
        <w:t>RESTROOMS</w:t>
      </w:r>
      <w:r w:rsidR="0031561E">
        <w:rPr>
          <w:rFonts w:ascii="Avenir Book" w:hAnsi="Avenir Book"/>
          <w:sz w:val="21"/>
          <w:szCs w:val="21"/>
        </w:rPr>
        <w:t>………………………………………………………………………………….  2</w:t>
      </w:r>
      <w:r>
        <w:rPr>
          <w:rFonts w:ascii="Avenir Book" w:hAnsi="Avenir Book"/>
          <w:sz w:val="21"/>
          <w:szCs w:val="21"/>
        </w:rPr>
        <w:t>4</w:t>
      </w:r>
    </w:p>
    <w:p w:rsidR="0095412A" w:rsidRDefault="004A7C8A" w:rsidP="00BA42C1">
      <w:pPr>
        <w:spacing w:after="280" w:line="276" w:lineRule="auto"/>
        <w:rPr>
          <w:rFonts w:ascii="Avenir Book" w:hAnsi="Avenir Book"/>
          <w:sz w:val="21"/>
          <w:szCs w:val="21"/>
        </w:rPr>
      </w:pPr>
      <w:r>
        <w:rPr>
          <w:rFonts w:ascii="Avenir Book" w:hAnsi="Avenir Book"/>
          <w:sz w:val="21"/>
          <w:szCs w:val="21"/>
        </w:rPr>
        <w:t>V</w:t>
      </w:r>
      <w:r w:rsidR="00B36FB9">
        <w:rPr>
          <w:rFonts w:ascii="Avenir Book" w:hAnsi="Avenir Book"/>
          <w:sz w:val="21"/>
          <w:szCs w:val="21"/>
        </w:rPr>
        <w:t>I</w:t>
      </w:r>
      <w:r>
        <w:rPr>
          <w:rFonts w:ascii="Avenir Book" w:hAnsi="Avenir Book"/>
          <w:sz w:val="21"/>
          <w:szCs w:val="21"/>
        </w:rPr>
        <w:t xml:space="preserve">II.  </w:t>
      </w:r>
      <w:r w:rsidR="0095412A">
        <w:rPr>
          <w:rFonts w:ascii="Avenir Book" w:hAnsi="Avenir Book"/>
          <w:sz w:val="21"/>
          <w:szCs w:val="21"/>
        </w:rPr>
        <w:t>TRANSACTION AND POINT OF SALE ISSUES</w:t>
      </w:r>
      <w:r w:rsidR="00B36FB9">
        <w:rPr>
          <w:rFonts w:ascii="Avenir Book" w:hAnsi="Avenir Book"/>
          <w:sz w:val="21"/>
          <w:szCs w:val="21"/>
        </w:rPr>
        <w:t>……..</w:t>
      </w:r>
      <w:r>
        <w:rPr>
          <w:rFonts w:ascii="Avenir Book" w:hAnsi="Avenir Book"/>
          <w:sz w:val="21"/>
          <w:szCs w:val="21"/>
        </w:rPr>
        <w:t>…………………….……………..  26</w:t>
      </w:r>
    </w:p>
    <w:p w:rsidR="0095412A" w:rsidRDefault="00B36FB9" w:rsidP="00BA42C1">
      <w:pPr>
        <w:spacing w:after="280" w:line="276" w:lineRule="auto"/>
        <w:rPr>
          <w:rFonts w:ascii="Avenir Book" w:hAnsi="Avenir Book"/>
          <w:sz w:val="21"/>
          <w:szCs w:val="21"/>
        </w:rPr>
      </w:pPr>
      <w:r>
        <w:rPr>
          <w:rFonts w:ascii="Avenir Book" w:hAnsi="Avenir Book"/>
          <w:sz w:val="21"/>
          <w:szCs w:val="21"/>
        </w:rPr>
        <w:t>IX</w:t>
      </w:r>
      <w:r w:rsidR="004A7C8A">
        <w:rPr>
          <w:rFonts w:ascii="Avenir Book" w:hAnsi="Avenir Book"/>
          <w:sz w:val="21"/>
          <w:szCs w:val="21"/>
        </w:rPr>
        <w:t xml:space="preserve">.  </w:t>
      </w:r>
      <w:r w:rsidR="0095412A">
        <w:rPr>
          <w:rFonts w:ascii="Avenir Book" w:hAnsi="Avenir Book"/>
          <w:sz w:val="21"/>
          <w:szCs w:val="21"/>
        </w:rPr>
        <w:t>SERVICE ANIMALS</w:t>
      </w:r>
      <w:r w:rsidR="004A7C8A">
        <w:rPr>
          <w:rFonts w:ascii="Avenir Book" w:hAnsi="Avenir Book"/>
          <w:sz w:val="21"/>
          <w:szCs w:val="21"/>
        </w:rPr>
        <w:t>....</w:t>
      </w:r>
      <w:r>
        <w:rPr>
          <w:rFonts w:ascii="Avenir Book" w:hAnsi="Avenir Book"/>
          <w:sz w:val="21"/>
          <w:szCs w:val="21"/>
        </w:rPr>
        <w:t>.</w:t>
      </w:r>
      <w:r w:rsidR="004A7C8A">
        <w:rPr>
          <w:rFonts w:ascii="Avenir Book" w:hAnsi="Avenir Book"/>
          <w:sz w:val="21"/>
          <w:szCs w:val="21"/>
        </w:rPr>
        <w:t>...................................................................................................  28</w:t>
      </w:r>
    </w:p>
    <w:p w:rsidR="0095412A" w:rsidRDefault="004A7C8A" w:rsidP="00BA42C1">
      <w:pPr>
        <w:spacing w:after="280" w:line="276" w:lineRule="auto"/>
        <w:rPr>
          <w:rFonts w:ascii="Avenir Book" w:hAnsi="Avenir Book"/>
          <w:sz w:val="21"/>
          <w:szCs w:val="21"/>
        </w:rPr>
      </w:pPr>
      <w:r>
        <w:rPr>
          <w:rFonts w:ascii="Avenir Book" w:hAnsi="Avenir Book"/>
          <w:sz w:val="21"/>
          <w:szCs w:val="21"/>
        </w:rPr>
        <w:t xml:space="preserve">X.  </w:t>
      </w:r>
      <w:r w:rsidR="0095412A">
        <w:rPr>
          <w:rFonts w:ascii="Avenir Book" w:hAnsi="Avenir Book"/>
          <w:sz w:val="21"/>
          <w:szCs w:val="21"/>
        </w:rPr>
        <w:t>COMMUNICATION ISSUES/AUXILIARY AIDS AND SERVICES</w:t>
      </w:r>
      <w:r>
        <w:rPr>
          <w:rFonts w:ascii="Avenir Book" w:hAnsi="Avenir Book"/>
          <w:sz w:val="21"/>
          <w:szCs w:val="21"/>
        </w:rPr>
        <w:t>…………</w:t>
      </w:r>
      <w:r w:rsidR="00B36FB9">
        <w:rPr>
          <w:rFonts w:ascii="Avenir Book" w:hAnsi="Avenir Book"/>
          <w:sz w:val="21"/>
          <w:szCs w:val="21"/>
        </w:rPr>
        <w:t>.</w:t>
      </w:r>
      <w:r>
        <w:rPr>
          <w:rFonts w:ascii="Avenir Book" w:hAnsi="Avenir Book"/>
          <w:sz w:val="21"/>
          <w:szCs w:val="21"/>
        </w:rPr>
        <w:t>…….…….......  35</w:t>
      </w:r>
    </w:p>
    <w:p w:rsidR="0095412A" w:rsidRDefault="004A7C8A" w:rsidP="00BA42C1">
      <w:pPr>
        <w:spacing w:after="280" w:line="276" w:lineRule="auto"/>
        <w:rPr>
          <w:rFonts w:ascii="Avenir Book" w:hAnsi="Avenir Book"/>
          <w:sz w:val="21"/>
          <w:szCs w:val="21"/>
        </w:rPr>
      </w:pPr>
      <w:r>
        <w:rPr>
          <w:rFonts w:ascii="Avenir Book" w:hAnsi="Avenir Book"/>
          <w:sz w:val="21"/>
          <w:szCs w:val="21"/>
        </w:rPr>
        <w:t>X</w:t>
      </w:r>
      <w:r w:rsidR="00B36FB9">
        <w:rPr>
          <w:rFonts w:ascii="Avenir Book" w:hAnsi="Avenir Book"/>
          <w:sz w:val="21"/>
          <w:szCs w:val="21"/>
        </w:rPr>
        <w:t>I</w:t>
      </w:r>
      <w:proofErr w:type="gramStart"/>
      <w:r>
        <w:rPr>
          <w:rFonts w:ascii="Avenir Book" w:hAnsi="Avenir Book"/>
          <w:sz w:val="21"/>
          <w:szCs w:val="21"/>
        </w:rPr>
        <w:t xml:space="preserve">.  </w:t>
      </w:r>
      <w:r w:rsidR="0095412A">
        <w:rPr>
          <w:rFonts w:ascii="Avenir Book" w:hAnsi="Avenir Book"/>
          <w:sz w:val="21"/>
          <w:szCs w:val="21"/>
        </w:rPr>
        <w:t>COMMON</w:t>
      </w:r>
      <w:proofErr w:type="gramEnd"/>
      <w:r w:rsidR="0095412A">
        <w:rPr>
          <w:rFonts w:ascii="Avenir Book" w:hAnsi="Avenir Book"/>
          <w:sz w:val="21"/>
          <w:szCs w:val="21"/>
        </w:rPr>
        <w:t xml:space="preserve"> ISSUES ASSOCIATED WITH ADDITIONAL FEATURES AND SERVICES</w:t>
      </w:r>
      <w:r w:rsidR="00B36FB9">
        <w:rPr>
          <w:rFonts w:ascii="Avenir Book" w:hAnsi="Avenir Book"/>
          <w:sz w:val="21"/>
          <w:szCs w:val="21"/>
        </w:rPr>
        <w:t>.</w:t>
      </w:r>
      <w:r>
        <w:rPr>
          <w:rFonts w:ascii="Avenir Book" w:hAnsi="Avenir Book"/>
          <w:sz w:val="21"/>
          <w:szCs w:val="21"/>
        </w:rPr>
        <w:t>…  37</w:t>
      </w:r>
    </w:p>
    <w:p w:rsidR="0095412A" w:rsidRDefault="004A7C8A" w:rsidP="00BA42C1">
      <w:pPr>
        <w:spacing w:after="280" w:line="276" w:lineRule="auto"/>
        <w:rPr>
          <w:rFonts w:ascii="Avenir Book" w:hAnsi="Avenir Book"/>
          <w:sz w:val="21"/>
          <w:szCs w:val="21"/>
        </w:rPr>
      </w:pPr>
      <w:r>
        <w:rPr>
          <w:rFonts w:ascii="Avenir Book" w:hAnsi="Avenir Book"/>
          <w:sz w:val="21"/>
          <w:szCs w:val="21"/>
        </w:rPr>
        <w:t>X</w:t>
      </w:r>
      <w:r w:rsidR="00B36FB9">
        <w:rPr>
          <w:rFonts w:ascii="Avenir Book" w:hAnsi="Avenir Book"/>
          <w:sz w:val="21"/>
          <w:szCs w:val="21"/>
        </w:rPr>
        <w:t>I</w:t>
      </w:r>
      <w:bookmarkStart w:id="0" w:name="_GoBack"/>
      <w:bookmarkEnd w:id="0"/>
      <w:r>
        <w:rPr>
          <w:rFonts w:ascii="Avenir Book" w:hAnsi="Avenir Book"/>
          <w:sz w:val="21"/>
          <w:szCs w:val="21"/>
        </w:rPr>
        <w:t>I</w:t>
      </w:r>
      <w:proofErr w:type="gramStart"/>
      <w:r>
        <w:rPr>
          <w:rFonts w:ascii="Avenir Book" w:hAnsi="Avenir Book"/>
          <w:sz w:val="21"/>
          <w:szCs w:val="21"/>
        </w:rPr>
        <w:t xml:space="preserve">.  </w:t>
      </w:r>
      <w:r w:rsidR="0095412A">
        <w:rPr>
          <w:rFonts w:ascii="Avenir Book" w:hAnsi="Avenir Book"/>
          <w:sz w:val="21"/>
          <w:szCs w:val="21"/>
        </w:rPr>
        <w:t>RECEIVING</w:t>
      </w:r>
      <w:proofErr w:type="gramEnd"/>
      <w:r w:rsidR="0095412A">
        <w:rPr>
          <w:rFonts w:ascii="Avenir Book" w:hAnsi="Avenir Book"/>
          <w:sz w:val="21"/>
          <w:szCs w:val="21"/>
        </w:rPr>
        <w:t xml:space="preserve"> AND PROCESSING ACCESS COMPLAINTS</w:t>
      </w:r>
      <w:r>
        <w:rPr>
          <w:rFonts w:ascii="Avenir Book" w:hAnsi="Avenir Book"/>
          <w:sz w:val="21"/>
          <w:szCs w:val="21"/>
        </w:rPr>
        <w:t>………………………………..  39</w:t>
      </w:r>
    </w:p>
    <w:p w:rsidR="0095412A" w:rsidRPr="0095412A" w:rsidRDefault="001B3178" w:rsidP="001B3178">
      <w:pPr>
        <w:tabs>
          <w:tab w:val="left" w:pos="1008"/>
        </w:tabs>
        <w:spacing w:after="200" w:line="276" w:lineRule="auto"/>
        <w:rPr>
          <w:rFonts w:ascii="Avenir Book" w:hAnsi="Avenir Book"/>
          <w:sz w:val="21"/>
          <w:szCs w:val="21"/>
        </w:rPr>
      </w:pPr>
      <w:r w:rsidRPr="001B3178">
        <w:rPr>
          <w:rFonts w:ascii="Avenir Book" w:hAnsi="Avenir Book"/>
          <w:b/>
          <w:noProof/>
          <w:sz w:val="21"/>
          <w:szCs w:val="21"/>
          <w:lang w:eastAsia="zh-TW"/>
        </w:rPr>
        <w:pict>
          <v:shapetype id="_x0000_t202" coordsize="21600,21600" o:spt="202" path="m,l,21600r21600,l21600,xe">
            <v:stroke joinstyle="miter"/>
            <v:path gradientshapeok="t" o:connecttype="rect"/>
          </v:shapetype>
          <v:shape id="_x0000_s1026" type="#_x0000_t202" style="position:absolute;margin-left:-24.6pt;margin-top:20.4pt;width:415.4pt;height:220.8pt;z-index:251660288;mso-width-relative:margin;mso-height-relative:margin" strokecolor="white [3212]">
            <v:textbox>
              <w:txbxContent>
                <w:p w:rsidR="005907BB" w:rsidRPr="005907BB" w:rsidRDefault="005907BB" w:rsidP="005907BB">
                  <w:pPr>
                    <w:jc w:val="center"/>
                    <w:rPr>
                      <w:b/>
                      <w:sz w:val="20"/>
                      <w:szCs w:val="20"/>
                    </w:rPr>
                  </w:pPr>
                  <w:r w:rsidRPr="005907BB">
                    <w:rPr>
                      <w:b/>
                      <w:sz w:val="20"/>
                      <w:szCs w:val="20"/>
                    </w:rPr>
                    <w:t>ADA TOOLKIT DISCLAIMER</w:t>
                  </w:r>
                </w:p>
                <w:p w:rsidR="005907BB" w:rsidRDefault="005907BB" w:rsidP="005907BB">
                  <w:pPr>
                    <w:rPr>
                      <w:sz w:val="20"/>
                      <w:szCs w:val="20"/>
                    </w:rPr>
                  </w:pPr>
                  <w:r w:rsidRPr="005907BB">
                    <w:rPr>
                      <w:sz w:val="20"/>
                      <w:szCs w:val="20"/>
                    </w:rPr>
                    <w:t>The information and materials made available in this Toolkit have been prepared by Downey Brand for general informational purposes only and should not be construed as legal advice on any subject matter, or to answer specific legal problems you may have. No recipients of content from this Toolkit, clients or otherwise, should act or refrain from acting on the basis of any content included in the Toolkit without seeking appropriate legal or other professional advice on the particular facts and circumstances at issue from a licensed attorney. The Toolkit contains general information and may not reflect current legal developments, verdicts or settlements. Downey Brand expressly disclaims all liability with respect to actions taken or not taken based on any or all the contents of the Toolkit.</w:t>
                  </w:r>
                </w:p>
                <w:p w:rsidR="005907BB" w:rsidRPr="005907BB" w:rsidRDefault="005907BB" w:rsidP="005907BB">
                  <w:pPr>
                    <w:rPr>
                      <w:sz w:val="20"/>
                      <w:szCs w:val="20"/>
                    </w:rPr>
                  </w:pPr>
                </w:p>
                <w:p w:rsidR="005907BB" w:rsidRPr="005907BB" w:rsidRDefault="005907BB" w:rsidP="005907BB">
                  <w:pPr>
                    <w:rPr>
                      <w:sz w:val="20"/>
                      <w:szCs w:val="20"/>
                    </w:rPr>
                  </w:pPr>
                  <w:r w:rsidRPr="005907BB">
                    <w:rPr>
                      <w:sz w:val="20"/>
                      <w:szCs w:val="20"/>
                    </w:rPr>
                    <w:t>While Downey Brand has tried to ensure the accuracy of the information contained in the Toolkit, we cannot guarantee that all of the information is accurate. You should be aware that the law is constantly changing and varies by circumstance. Therefore, information on a given legal issue or the law may not be current or apply to your particular situation. You should not act or refrain from acting upon this information without seeking the advice of licensed professional counsel. Use of any of the information in the Toolkit does not create an attorney-client relationship between you and Downey Brand.</w:t>
                  </w:r>
                </w:p>
                <w:p w:rsidR="001B3178" w:rsidRDefault="001B3178"/>
              </w:txbxContent>
            </v:textbox>
          </v:shape>
        </w:pict>
      </w:r>
      <w:r>
        <w:rPr>
          <w:rFonts w:ascii="Avenir Book" w:hAnsi="Avenir Book"/>
          <w:sz w:val="21"/>
          <w:szCs w:val="21"/>
        </w:rPr>
        <w:tab/>
      </w:r>
    </w:p>
    <w:p w:rsidR="0095412A" w:rsidRDefault="0095412A">
      <w:pPr>
        <w:spacing w:after="200" w:line="276" w:lineRule="auto"/>
        <w:rPr>
          <w:rFonts w:ascii="Avenir Book" w:hAnsi="Avenir Book"/>
          <w:b/>
          <w:sz w:val="21"/>
          <w:szCs w:val="21"/>
        </w:rPr>
      </w:pPr>
      <w:r>
        <w:rPr>
          <w:rFonts w:ascii="Avenir Book" w:hAnsi="Avenir Book"/>
          <w:b/>
          <w:sz w:val="21"/>
          <w:szCs w:val="21"/>
        </w:rPr>
        <w:br w:type="page"/>
      </w:r>
    </w:p>
    <w:p w:rsidR="00FE007E" w:rsidRPr="0043666B" w:rsidRDefault="0043666B" w:rsidP="0043666B">
      <w:pPr>
        <w:pStyle w:val="OutlineL1"/>
        <w:tabs>
          <w:tab w:val="clear" w:pos="720"/>
          <w:tab w:val="num" w:pos="360"/>
        </w:tabs>
        <w:rPr>
          <w:rFonts w:ascii="Avenir Book" w:hAnsi="Avenir Book"/>
          <w:b/>
          <w:sz w:val="21"/>
          <w:szCs w:val="21"/>
        </w:rPr>
      </w:pPr>
      <w:r w:rsidRPr="0043666B">
        <w:rPr>
          <w:rFonts w:ascii="Avenir Book" w:hAnsi="Avenir Book"/>
          <w:b/>
          <w:sz w:val="21"/>
          <w:szCs w:val="21"/>
        </w:rPr>
        <w:lastRenderedPageBreak/>
        <w:t>INTRODUCTION AND DISCLAIMER</w:t>
      </w:r>
    </w:p>
    <w:p w:rsidR="00302BCE" w:rsidRPr="00724CF8" w:rsidRDefault="002E387B" w:rsidP="002E387B">
      <w:pPr>
        <w:rPr>
          <w:rFonts w:ascii="Avenir Book" w:hAnsi="Avenir Book"/>
          <w:sz w:val="21"/>
          <w:szCs w:val="21"/>
        </w:rPr>
      </w:pPr>
      <w:r w:rsidRPr="00724CF8">
        <w:rPr>
          <w:rFonts w:ascii="Avenir Book" w:hAnsi="Avenir Book"/>
          <w:sz w:val="21"/>
          <w:szCs w:val="21"/>
        </w:rPr>
        <w:t>This</w:t>
      </w:r>
      <w:r w:rsidR="00A164E1" w:rsidRPr="00724CF8">
        <w:rPr>
          <w:rFonts w:ascii="Avenir Book" w:hAnsi="Avenir Book"/>
          <w:sz w:val="21"/>
          <w:szCs w:val="21"/>
        </w:rPr>
        <w:t xml:space="preserve"> Toolkit </w:t>
      </w:r>
      <w:r w:rsidRPr="00724CF8">
        <w:rPr>
          <w:rFonts w:ascii="Avenir Book" w:hAnsi="Avenir Book"/>
          <w:sz w:val="21"/>
          <w:szCs w:val="21"/>
        </w:rPr>
        <w:t>provides</w:t>
      </w:r>
      <w:r w:rsidR="00A164E1" w:rsidRPr="00724CF8">
        <w:rPr>
          <w:rFonts w:ascii="Avenir Book" w:hAnsi="Avenir Book"/>
          <w:sz w:val="21"/>
          <w:szCs w:val="21"/>
        </w:rPr>
        <w:t xml:space="preserve"> </w:t>
      </w:r>
      <w:r w:rsidRPr="00724CF8">
        <w:rPr>
          <w:rFonts w:ascii="Avenir Book" w:hAnsi="Avenir Book"/>
          <w:sz w:val="21"/>
          <w:szCs w:val="21"/>
        </w:rPr>
        <w:t xml:space="preserve">information and resources to help you make informed and compliant decisions regarding </w:t>
      </w:r>
      <w:r w:rsidR="00302BCE" w:rsidRPr="00724CF8">
        <w:rPr>
          <w:rFonts w:ascii="Avenir Book" w:hAnsi="Avenir Book"/>
          <w:sz w:val="21"/>
          <w:szCs w:val="21"/>
        </w:rPr>
        <w:t xml:space="preserve">disability </w:t>
      </w:r>
      <w:r w:rsidRPr="00724CF8">
        <w:rPr>
          <w:rFonts w:ascii="Avenir Book" w:hAnsi="Avenir Book"/>
          <w:sz w:val="21"/>
          <w:szCs w:val="21"/>
        </w:rPr>
        <w:t>access issues in places of public accommodation</w:t>
      </w:r>
      <w:r w:rsidR="00302BCE" w:rsidRPr="00724CF8">
        <w:rPr>
          <w:rFonts w:ascii="Avenir Book" w:hAnsi="Avenir Book"/>
          <w:sz w:val="21"/>
          <w:szCs w:val="21"/>
        </w:rPr>
        <w:t>, as addressed by Title III of the Americans with Disabilities Act</w:t>
      </w:r>
      <w:r w:rsidR="000A71AB" w:rsidRPr="00724CF8">
        <w:rPr>
          <w:rFonts w:ascii="Avenir Book" w:hAnsi="Avenir Book"/>
          <w:sz w:val="21"/>
          <w:szCs w:val="21"/>
        </w:rPr>
        <w:t xml:space="preserve"> and its associated regulations</w:t>
      </w:r>
      <w:r w:rsidR="00B3286B" w:rsidRPr="00724CF8">
        <w:rPr>
          <w:rFonts w:ascii="Avenir Book" w:hAnsi="Avenir Book"/>
          <w:sz w:val="21"/>
          <w:szCs w:val="21"/>
        </w:rPr>
        <w:t xml:space="preserve"> </w:t>
      </w:r>
      <w:r w:rsidR="000A71AB" w:rsidRPr="00724CF8">
        <w:rPr>
          <w:rFonts w:ascii="Avenir Book" w:hAnsi="Avenir Book"/>
          <w:sz w:val="21"/>
          <w:szCs w:val="21"/>
        </w:rPr>
        <w:t>and</w:t>
      </w:r>
      <w:r w:rsidR="00302BCE" w:rsidRPr="00724CF8">
        <w:rPr>
          <w:rFonts w:ascii="Avenir Book" w:hAnsi="Avenir Book"/>
          <w:sz w:val="21"/>
          <w:szCs w:val="21"/>
        </w:rPr>
        <w:t xml:space="preserve"> various </w:t>
      </w:r>
      <w:r w:rsidR="000A71AB" w:rsidRPr="00724CF8">
        <w:rPr>
          <w:rFonts w:ascii="Avenir Book" w:hAnsi="Avenir Book"/>
          <w:sz w:val="21"/>
          <w:szCs w:val="21"/>
        </w:rPr>
        <w:t>California</w:t>
      </w:r>
      <w:r w:rsidR="00302BCE" w:rsidRPr="00724CF8">
        <w:rPr>
          <w:rFonts w:ascii="Avenir Book" w:hAnsi="Avenir Book"/>
          <w:sz w:val="21"/>
          <w:szCs w:val="21"/>
        </w:rPr>
        <w:t xml:space="preserve"> laws</w:t>
      </w:r>
      <w:r w:rsidRPr="00724CF8">
        <w:rPr>
          <w:rFonts w:ascii="Avenir Book" w:hAnsi="Avenir Book"/>
          <w:sz w:val="21"/>
          <w:szCs w:val="21"/>
        </w:rPr>
        <w:t xml:space="preserve">. </w:t>
      </w:r>
    </w:p>
    <w:p w:rsidR="00302BCE" w:rsidRPr="00724CF8" w:rsidRDefault="00302BCE" w:rsidP="002E387B">
      <w:pPr>
        <w:rPr>
          <w:rFonts w:ascii="Avenir Book" w:hAnsi="Avenir Book"/>
          <w:sz w:val="21"/>
          <w:szCs w:val="21"/>
        </w:rPr>
      </w:pPr>
      <w:r w:rsidRPr="00724CF8">
        <w:rPr>
          <w:rFonts w:ascii="Avenir Book" w:hAnsi="Avenir Book"/>
          <w:sz w:val="21"/>
          <w:szCs w:val="21"/>
        </w:rPr>
        <w:t xml:space="preserve"> </w:t>
      </w:r>
    </w:p>
    <w:p w:rsidR="00EE7F5E" w:rsidRPr="00724CF8" w:rsidRDefault="00EE7F5E" w:rsidP="00EE7F5E">
      <w:pPr>
        <w:pStyle w:val="BodyText"/>
        <w:rPr>
          <w:rFonts w:ascii="Avenir Book" w:hAnsi="Avenir Book"/>
          <w:sz w:val="21"/>
          <w:szCs w:val="21"/>
        </w:rPr>
      </w:pPr>
      <w:r w:rsidRPr="00724CF8">
        <w:rPr>
          <w:rFonts w:ascii="Avenir Book" w:hAnsi="Avenir Book"/>
          <w:sz w:val="21"/>
          <w:szCs w:val="21"/>
        </w:rPr>
        <w:t xml:space="preserve">By providing this Toolkit and the accompanying workshops, </w:t>
      </w:r>
      <w:r w:rsidR="0074609A" w:rsidRPr="00724CF8">
        <w:rPr>
          <w:rFonts w:ascii="Avenir Book" w:hAnsi="Avenir Book"/>
          <w:sz w:val="21"/>
          <w:szCs w:val="21"/>
        </w:rPr>
        <w:t xml:space="preserve">the </w:t>
      </w:r>
      <w:r w:rsidRPr="00724CF8">
        <w:rPr>
          <w:rFonts w:ascii="Avenir Book" w:hAnsi="Avenir Book"/>
          <w:sz w:val="21"/>
          <w:szCs w:val="21"/>
        </w:rPr>
        <w:t xml:space="preserve">California Grocers Association (CGA) and the CGA Educational Foundation (CGAEF) are providing an opportunity for CGA members and attendees to learn information regarding disability access issues that may be of interest to your company. The Toolkit and workshops are designed to provide practical and useful information on disability access issues.  They do not cover other areas of access compliance, such as issues of disability access </w:t>
      </w:r>
      <w:r w:rsidR="004E10DF" w:rsidRPr="00724CF8">
        <w:rPr>
          <w:rFonts w:ascii="Avenir Book" w:hAnsi="Avenir Book"/>
          <w:sz w:val="21"/>
          <w:szCs w:val="21"/>
        </w:rPr>
        <w:t>and</w:t>
      </w:r>
      <w:r w:rsidRPr="00724CF8">
        <w:rPr>
          <w:rFonts w:ascii="Avenir Book" w:hAnsi="Avenir Book"/>
          <w:sz w:val="21"/>
          <w:szCs w:val="21"/>
        </w:rPr>
        <w:t xml:space="preserve"> accommodation related to </w:t>
      </w:r>
      <w:r w:rsidR="004E10DF" w:rsidRPr="00724CF8">
        <w:rPr>
          <w:rFonts w:ascii="Avenir Book" w:hAnsi="Avenir Book"/>
          <w:sz w:val="21"/>
          <w:szCs w:val="21"/>
        </w:rPr>
        <w:t xml:space="preserve">commercial facilities or </w:t>
      </w:r>
      <w:r w:rsidRPr="00724CF8">
        <w:rPr>
          <w:rFonts w:ascii="Avenir Book" w:hAnsi="Avenir Book"/>
          <w:sz w:val="21"/>
          <w:szCs w:val="21"/>
        </w:rPr>
        <w:t>employees.</w:t>
      </w:r>
    </w:p>
    <w:p w:rsidR="00EE7F5E" w:rsidRPr="00724CF8" w:rsidRDefault="00EE7F5E" w:rsidP="00EE7F5E">
      <w:pPr>
        <w:pStyle w:val="BodyText"/>
        <w:rPr>
          <w:rFonts w:ascii="Avenir Book" w:hAnsi="Avenir Book"/>
          <w:sz w:val="21"/>
          <w:szCs w:val="21"/>
        </w:rPr>
      </w:pPr>
      <w:r w:rsidRPr="00724CF8">
        <w:rPr>
          <w:rFonts w:ascii="Avenir Book" w:hAnsi="Avenir Book"/>
          <w:sz w:val="21"/>
          <w:szCs w:val="21"/>
        </w:rPr>
        <w:t xml:space="preserve">The Toolkit and workshops are not intended to be comprehensive or customized for your particular facilities </w:t>
      </w:r>
      <w:r w:rsidR="00B3286B" w:rsidRPr="00724CF8">
        <w:rPr>
          <w:rFonts w:ascii="Avenir Book" w:hAnsi="Avenir Book"/>
          <w:sz w:val="21"/>
          <w:szCs w:val="21"/>
        </w:rPr>
        <w:t>or</w:t>
      </w:r>
      <w:r w:rsidRPr="00724CF8">
        <w:rPr>
          <w:rFonts w:ascii="Avenir Book" w:hAnsi="Avenir Book"/>
          <w:sz w:val="21"/>
          <w:szCs w:val="21"/>
        </w:rPr>
        <w:t xml:space="preserve"> operations.  </w:t>
      </w:r>
      <w:r w:rsidR="00B3286B" w:rsidRPr="00724CF8">
        <w:rPr>
          <w:rFonts w:ascii="Avenir Book" w:hAnsi="Avenir Book"/>
          <w:sz w:val="21"/>
          <w:szCs w:val="21"/>
        </w:rPr>
        <w:t>Instead, they</w:t>
      </w:r>
      <w:r w:rsidRPr="00724CF8">
        <w:rPr>
          <w:rFonts w:ascii="Avenir Book" w:hAnsi="Avenir Book"/>
          <w:sz w:val="21"/>
          <w:szCs w:val="21"/>
        </w:rPr>
        <w:t xml:space="preserve"> are </w:t>
      </w:r>
      <w:r w:rsidR="00C81126" w:rsidRPr="00724CF8">
        <w:rPr>
          <w:rFonts w:ascii="Avenir Book" w:hAnsi="Avenir Book"/>
          <w:sz w:val="21"/>
          <w:szCs w:val="21"/>
        </w:rPr>
        <w:t>intended to provide a</w:t>
      </w:r>
      <w:r w:rsidR="00B3286B" w:rsidRPr="00724CF8">
        <w:rPr>
          <w:rFonts w:ascii="Avenir Book" w:hAnsi="Avenir Book"/>
          <w:sz w:val="21"/>
          <w:szCs w:val="21"/>
        </w:rPr>
        <w:t xml:space="preserve"> starting point toward</w:t>
      </w:r>
      <w:r w:rsidRPr="00724CF8">
        <w:rPr>
          <w:rFonts w:ascii="Avenir Book" w:hAnsi="Avenir Book"/>
          <w:sz w:val="21"/>
          <w:szCs w:val="21"/>
        </w:rPr>
        <w:t xml:space="preserve"> achieving disability access compliance for your company.  To obtain a more customized Toolkit and/or assessment of your company’s compliance with disability access laws and regulations, you may contact Downey Brand, LLP directly.</w:t>
      </w:r>
    </w:p>
    <w:p w:rsidR="00EE7F5E" w:rsidRPr="0043666B" w:rsidRDefault="00C81126" w:rsidP="00EE7F5E">
      <w:pPr>
        <w:rPr>
          <w:rFonts w:ascii="Avenir Book" w:hAnsi="Avenir Book"/>
          <w:i/>
          <w:sz w:val="21"/>
          <w:szCs w:val="21"/>
        </w:rPr>
      </w:pPr>
      <w:r w:rsidRPr="0043666B">
        <w:rPr>
          <w:rFonts w:ascii="Avenir Book" w:hAnsi="Avenir Book"/>
          <w:i/>
          <w:sz w:val="21"/>
          <w:szCs w:val="21"/>
        </w:rPr>
        <w:t>About the Author:</w:t>
      </w:r>
    </w:p>
    <w:p w:rsidR="00C81126" w:rsidRPr="00724CF8" w:rsidRDefault="00C81126" w:rsidP="00EE7F5E">
      <w:pPr>
        <w:rPr>
          <w:rFonts w:ascii="Avenir Book" w:hAnsi="Avenir Book"/>
          <w:sz w:val="21"/>
          <w:szCs w:val="21"/>
        </w:rPr>
      </w:pPr>
    </w:p>
    <w:p w:rsidR="00EE7F5E" w:rsidRPr="00724CF8" w:rsidRDefault="00EE7F5E" w:rsidP="00EE7F5E">
      <w:pPr>
        <w:rPr>
          <w:rFonts w:ascii="Avenir Book" w:hAnsi="Avenir Book"/>
          <w:sz w:val="21"/>
          <w:szCs w:val="21"/>
        </w:rPr>
      </w:pPr>
      <w:r w:rsidRPr="00724CF8">
        <w:rPr>
          <w:rFonts w:ascii="Avenir Book" w:hAnsi="Avenir Book"/>
          <w:sz w:val="21"/>
          <w:szCs w:val="21"/>
        </w:rPr>
        <w:t>Elizabeth B. Stallard is a partner at Downey Brand, LLP</w:t>
      </w:r>
      <w:r w:rsidR="00B3286B" w:rsidRPr="00724CF8">
        <w:rPr>
          <w:rFonts w:ascii="Avenir Book" w:hAnsi="Avenir Book"/>
          <w:sz w:val="21"/>
          <w:szCs w:val="21"/>
        </w:rPr>
        <w:t>, licensed in both California and Nevada, and based in Downey Brand’s Sacramento office</w:t>
      </w:r>
      <w:r w:rsidRPr="00724CF8">
        <w:rPr>
          <w:rFonts w:ascii="Avenir Book" w:hAnsi="Avenir Book"/>
          <w:sz w:val="21"/>
          <w:szCs w:val="21"/>
        </w:rPr>
        <w:t xml:space="preserve">. Her practice focuses on labor and employment issues, and she </w:t>
      </w:r>
      <w:r w:rsidR="00B3286B" w:rsidRPr="00724CF8">
        <w:rPr>
          <w:rFonts w:ascii="Avenir Book" w:hAnsi="Avenir Book"/>
          <w:sz w:val="21"/>
          <w:szCs w:val="21"/>
        </w:rPr>
        <w:t>counsels</w:t>
      </w:r>
      <w:r w:rsidRPr="00724CF8">
        <w:rPr>
          <w:rFonts w:ascii="Avenir Book" w:hAnsi="Avenir Book"/>
          <w:sz w:val="21"/>
          <w:szCs w:val="21"/>
        </w:rPr>
        <w:t xml:space="preserve"> clients and </w:t>
      </w:r>
      <w:r w:rsidR="00B3286B" w:rsidRPr="00724CF8">
        <w:rPr>
          <w:rFonts w:ascii="Avenir Book" w:hAnsi="Avenir Book"/>
          <w:sz w:val="21"/>
          <w:szCs w:val="21"/>
        </w:rPr>
        <w:t>litigates</w:t>
      </w:r>
      <w:r w:rsidRPr="00724CF8">
        <w:rPr>
          <w:rFonts w:ascii="Avenir Book" w:hAnsi="Avenir Book"/>
          <w:sz w:val="21"/>
          <w:szCs w:val="21"/>
        </w:rPr>
        <w:t xml:space="preserve"> </w:t>
      </w:r>
      <w:r w:rsidR="00B3286B" w:rsidRPr="00724CF8">
        <w:rPr>
          <w:rFonts w:ascii="Avenir Book" w:hAnsi="Avenir Book"/>
          <w:sz w:val="21"/>
          <w:szCs w:val="21"/>
        </w:rPr>
        <w:t>disputes involving</w:t>
      </w:r>
      <w:r w:rsidRPr="00724CF8">
        <w:rPr>
          <w:rFonts w:ascii="Avenir Book" w:hAnsi="Avenir Book"/>
          <w:sz w:val="21"/>
          <w:szCs w:val="21"/>
        </w:rPr>
        <w:t xml:space="preserve"> </w:t>
      </w:r>
      <w:r w:rsidR="00B3286B" w:rsidRPr="00724CF8">
        <w:rPr>
          <w:rFonts w:ascii="Avenir Book" w:hAnsi="Avenir Book"/>
          <w:sz w:val="21"/>
          <w:szCs w:val="21"/>
        </w:rPr>
        <w:t xml:space="preserve">federal </w:t>
      </w:r>
      <w:r w:rsidR="00C81126" w:rsidRPr="00724CF8">
        <w:rPr>
          <w:rFonts w:ascii="Avenir Book" w:hAnsi="Avenir Book"/>
          <w:sz w:val="21"/>
          <w:szCs w:val="21"/>
        </w:rPr>
        <w:t xml:space="preserve">and state </w:t>
      </w:r>
      <w:r w:rsidR="00B3286B" w:rsidRPr="00724CF8">
        <w:rPr>
          <w:rFonts w:ascii="Avenir Book" w:hAnsi="Avenir Book"/>
          <w:sz w:val="21"/>
          <w:szCs w:val="21"/>
        </w:rPr>
        <w:t>employment law</w:t>
      </w:r>
      <w:r w:rsidR="00C81126" w:rsidRPr="00724CF8">
        <w:rPr>
          <w:rFonts w:ascii="Avenir Book" w:hAnsi="Avenir Book"/>
          <w:sz w:val="21"/>
          <w:szCs w:val="21"/>
        </w:rPr>
        <w:t>s</w:t>
      </w:r>
      <w:r w:rsidRPr="00724CF8">
        <w:rPr>
          <w:rFonts w:ascii="Avenir Book" w:hAnsi="Avenir Book"/>
          <w:sz w:val="21"/>
          <w:szCs w:val="21"/>
        </w:rPr>
        <w:t xml:space="preserve">, disability access, Cal/OSHA compliance, </w:t>
      </w:r>
      <w:r w:rsidR="004E287E" w:rsidRPr="00724CF8">
        <w:rPr>
          <w:rFonts w:ascii="Avenir Book" w:hAnsi="Avenir Book"/>
          <w:sz w:val="21"/>
          <w:szCs w:val="21"/>
        </w:rPr>
        <w:t xml:space="preserve">trade secrets, </w:t>
      </w:r>
      <w:r w:rsidR="00B3286B" w:rsidRPr="00724CF8">
        <w:rPr>
          <w:rFonts w:ascii="Avenir Book" w:hAnsi="Avenir Book"/>
          <w:sz w:val="21"/>
          <w:szCs w:val="21"/>
        </w:rPr>
        <w:t xml:space="preserve">intellectual property, </w:t>
      </w:r>
      <w:r w:rsidRPr="00724CF8">
        <w:rPr>
          <w:rFonts w:ascii="Avenir Book" w:hAnsi="Avenir Book"/>
          <w:sz w:val="21"/>
          <w:szCs w:val="21"/>
        </w:rPr>
        <w:t>data privacy</w:t>
      </w:r>
      <w:r w:rsidR="004E287E" w:rsidRPr="00724CF8">
        <w:rPr>
          <w:rFonts w:ascii="Avenir Book" w:hAnsi="Avenir Book"/>
          <w:sz w:val="21"/>
          <w:szCs w:val="21"/>
        </w:rPr>
        <w:t>, and general business issues</w:t>
      </w:r>
      <w:r w:rsidRPr="00724CF8">
        <w:rPr>
          <w:rFonts w:ascii="Avenir Book" w:hAnsi="Avenir Book"/>
          <w:sz w:val="21"/>
          <w:szCs w:val="21"/>
        </w:rPr>
        <w:t>.</w:t>
      </w:r>
    </w:p>
    <w:p w:rsidR="00EE7F5E" w:rsidRPr="00724CF8" w:rsidRDefault="00EE7F5E" w:rsidP="002E387B">
      <w:pPr>
        <w:rPr>
          <w:rFonts w:ascii="Avenir Book" w:hAnsi="Avenir Book"/>
          <w:sz w:val="21"/>
          <w:szCs w:val="21"/>
        </w:rPr>
      </w:pPr>
    </w:p>
    <w:p w:rsidR="00B3286B" w:rsidRPr="00724CF8" w:rsidRDefault="00B3286B">
      <w:pPr>
        <w:rPr>
          <w:rFonts w:ascii="Avenir Book" w:hAnsi="Avenir Book"/>
          <w:sz w:val="21"/>
          <w:szCs w:val="21"/>
        </w:rPr>
      </w:pPr>
    </w:p>
    <w:p w:rsidR="00C81126" w:rsidRPr="00724CF8" w:rsidRDefault="00C81126" w:rsidP="00C81126">
      <w:pPr>
        <w:pStyle w:val="OutlineL1"/>
        <w:numPr>
          <w:ilvl w:val="0"/>
          <w:numId w:val="0"/>
        </w:numPr>
        <w:rPr>
          <w:rFonts w:ascii="Avenir Book" w:hAnsi="Avenir Book"/>
          <w:sz w:val="21"/>
          <w:szCs w:val="21"/>
        </w:rPr>
      </w:pPr>
    </w:p>
    <w:p w:rsidR="00C81126" w:rsidRPr="00724CF8" w:rsidRDefault="00C81126">
      <w:pPr>
        <w:spacing w:after="200" w:line="276" w:lineRule="auto"/>
        <w:rPr>
          <w:rFonts w:ascii="Avenir Book" w:hAnsi="Avenir Book"/>
          <w:sz w:val="21"/>
          <w:szCs w:val="21"/>
        </w:rPr>
      </w:pPr>
      <w:r w:rsidRPr="00724CF8">
        <w:rPr>
          <w:rFonts w:ascii="Avenir Book" w:hAnsi="Avenir Book"/>
          <w:sz w:val="21"/>
          <w:szCs w:val="21"/>
        </w:rPr>
        <w:br w:type="page"/>
      </w:r>
    </w:p>
    <w:p w:rsidR="00080164" w:rsidRPr="007C25EB" w:rsidRDefault="007C25EB" w:rsidP="007C25EB">
      <w:pPr>
        <w:pStyle w:val="OutlineL1"/>
        <w:tabs>
          <w:tab w:val="clear" w:pos="720"/>
          <w:tab w:val="num" w:pos="360"/>
        </w:tabs>
        <w:rPr>
          <w:rFonts w:ascii="Avenir Book" w:hAnsi="Avenir Book"/>
          <w:b/>
          <w:sz w:val="21"/>
          <w:szCs w:val="21"/>
        </w:rPr>
      </w:pPr>
      <w:r w:rsidRPr="007C25EB">
        <w:rPr>
          <w:rFonts w:ascii="Avenir Book" w:hAnsi="Avenir Book"/>
          <w:b/>
          <w:sz w:val="21"/>
          <w:szCs w:val="21"/>
        </w:rPr>
        <w:lastRenderedPageBreak/>
        <w:t>DISABILITY ACCESS LAW OVERVIEW</w:t>
      </w:r>
      <w:r w:rsidR="00212C52" w:rsidRPr="007C25EB">
        <w:rPr>
          <w:rStyle w:val="FootnoteReference"/>
          <w:rFonts w:ascii="Avenir Book" w:hAnsi="Avenir Book"/>
          <w:b/>
          <w:sz w:val="21"/>
          <w:szCs w:val="21"/>
        </w:rPr>
        <w:footnoteReference w:id="1"/>
      </w:r>
    </w:p>
    <w:p w:rsidR="000C16F5" w:rsidRPr="00D960F9" w:rsidRDefault="000C16F5"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The Americans with Disabilities Act of 1990</w:t>
      </w:r>
    </w:p>
    <w:p w:rsidR="00B411D7" w:rsidRPr="00724CF8" w:rsidRDefault="00C81126" w:rsidP="00B411D7">
      <w:pPr>
        <w:rPr>
          <w:rFonts w:ascii="Avenir Book" w:hAnsi="Avenir Book"/>
          <w:sz w:val="21"/>
          <w:szCs w:val="21"/>
        </w:rPr>
      </w:pPr>
      <w:r w:rsidRPr="00724CF8">
        <w:rPr>
          <w:rFonts w:ascii="Avenir Book" w:hAnsi="Avenir Book"/>
          <w:sz w:val="21"/>
          <w:szCs w:val="21"/>
        </w:rPr>
        <w:t xml:space="preserve">The starting point for any conversation about disability access </w:t>
      </w:r>
      <w:r w:rsidR="00C327BB" w:rsidRPr="00724CF8">
        <w:rPr>
          <w:rFonts w:ascii="Avenir Book" w:hAnsi="Avenir Book"/>
          <w:sz w:val="21"/>
          <w:szCs w:val="21"/>
        </w:rPr>
        <w:t>or disability discrimination</w:t>
      </w:r>
      <w:r w:rsidRPr="00724CF8">
        <w:rPr>
          <w:rFonts w:ascii="Avenir Book" w:hAnsi="Avenir Book"/>
          <w:sz w:val="21"/>
          <w:szCs w:val="21"/>
        </w:rPr>
        <w:t xml:space="preserve"> is the </w:t>
      </w:r>
      <w:r w:rsidR="0011719C" w:rsidRPr="00724CF8">
        <w:rPr>
          <w:rFonts w:ascii="Avenir Book" w:hAnsi="Avenir Book"/>
          <w:sz w:val="21"/>
          <w:szCs w:val="21"/>
        </w:rPr>
        <w:t xml:space="preserve">federal </w:t>
      </w:r>
      <w:r w:rsidRPr="00724CF8">
        <w:rPr>
          <w:rFonts w:ascii="Avenir Book" w:hAnsi="Avenir Book"/>
          <w:sz w:val="21"/>
          <w:szCs w:val="21"/>
        </w:rPr>
        <w:t xml:space="preserve">Americans with Disabilities Act </w:t>
      </w:r>
      <w:r w:rsidR="000C7D01" w:rsidRPr="00724CF8">
        <w:rPr>
          <w:rFonts w:ascii="Avenir Book" w:hAnsi="Avenir Book"/>
          <w:sz w:val="21"/>
          <w:szCs w:val="21"/>
        </w:rPr>
        <w:t>of 1990</w:t>
      </w:r>
      <w:r w:rsidR="00C327BB" w:rsidRPr="00724CF8">
        <w:rPr>
          <w:rFonts w:ascii="Avenir Book" w:hAnsi="Avenir Book"/>
          <w:sz w:val="21"/>
          <w:szCs w:val="21"/>
        </w:rPr>
        <w:t>, as amended</w:t>
      </w:r>
      <w:r w:rsidR="000C7D01" w:rsidRPr="00724CF8">
        <w:rPr>
          <w:rFonts w:ascii="Avenir Book" w:hAnsi="Avenir Book"/>
          <w:sz w:val="21"/>
          <w:szCs w:val="21"/>
        </w:rPr>
        <w:t xml:space="preserve"> </w:t>
      </w:r>
      <w:r w:rsidRPr="00724CF8">
        <w:rPr>
          <w:rFonts w:ascii="Avenir Book" w:hAnsi="Avenir Book"/>
          <w:sz w:val="21"/>
          <w:szCs w:val="21"/>
        </w:rPr>
        <w:t>(</w:t>
      </w:r>
      <w:r w:rsidR="000A71AB" w:rsidRPr="00724CF8">
        <w:rPr>
          <w:rFonts w:ascii="Avenir Book" w:hAnsi="Avenir Book"/>
          <w:sz w:val="21"/>
          <w:szCs w:val="21"/>
        </w:rPr>
        <w:t xml:space="preserve">the </w:t>
      </w:r>
      <w:r w:rsidRPr="00724CF8">
        <w:rPr>
          <w:rFonts w:ascii="Avenir Book" w:hAnsi="Avenir Book"/>
          <w:sz w:val="21"/>
          <w:szCs w:val="21"/>
        </w:rPr>
        <w:t>“ADA”)</w:t>
      </w:r>
      <w:r w:rsidR="00B411D7" w:rsidRPr="00724CF8">
        <w:rPr>
          <w:rFonts w:ascii="Avenir Book" w:hAnsi="Avenir Book"/>
          <w:sz w:val="21"/>
          <w:szCs w:val="21"/>
        </w:rPr>
        <w:t>. The five Titles of the ADA address various rights of individuals with disabilities.  This Toolkit focuses on Title III of the ADA, which</w:t>
      </w:r>
      <w:r w:rsidR="0011719C" w:rsidRPr="00724CF8">
        <w:rPr>
          <w:rFonts w:ascii="Avenir Book" w:hAnsi="Avenir Book"/>
          <w:sz w:val="21"/>
          <w:szCs w:val="21"/>
        </w:rPr>
        <w:t>, among other things,</w:t>
      </w:r>
      <w:r w:rsidR="00B411D7" w:rsidRPr="00724CF8">
        <w:rPr>
          <w:rFonts w:ascii="Avenir Book" w:hAnsi="Avenir Book"/>
          <w:sz w:val="21"/>
          <w:szCs w:val="21"/>
        </w:rPr>
        <w:t xml:space="preserve"> addresses the right of individuals with disabilities </w:t>
      </w:r>
      <w:r w:rsidR="00FE111B" w:rsidRPr="00724CF8">
        <w:rPr>
          <w:rFonts w:ascii="Avenir Book" w:hAnsi="Avenir Book"/>
          <w:sz w:val="21"/>
          <w:szCs w:val="21"/>
        </w:rPr>
        <w:t xml:space="preserve">to be free from discrimination and </w:t>
      </w:r>
      <w:r w:rsidR="00B411D7" w:rsidRPr="00724CF8">
        <w:rPr>
          <w:rFonts w:ascii="Avenir Book" w:hAnsi="Avenir Book"/>
          <w:sz w:val="21"/>
          <w:szCs w:val="21"/>
        </w:rPr>
        <w:t xml:space="preserve">to fully and equally enjoy public accommodations. </w:t>
      </w:r>
      <w:r w:rsidR="00246FDE" w:rsidRPr="00724CF8">
        <w:rPr>
          <w:rFonts w:ascii="Avenir Book" w:hAnsi="Avenir Book"/>
          <w:sz w:val="21"/>
          <w:szCs w:val="21"/>
        </w:rPr>
        <w:t>(42 U.S.C. §§ 12181-12189.)</w:t>
      </w:r>
    </w:p>
    <w:p w:rsidR="00E537C9" w:rsidRPr="00724CF8" w:rsidRDefault="00E537C9" w:rsidP="00B411D7">
      <w:pPr>
        <w:rPr>
          <w:rFonts w:ascii="Avenir Book" w:hAnsi="Avenir Book"/>
          <w:sz w:val="21"/>
          <w:szCs w:val="21"/>
        </w:rPr>
      </w:pPr>
    </w:p>
    <w:p w:rsidR="00E537C9" w:rsidRPr="00D960F9" w:rsidRDefault="00E537C9" w:rsidP="007C25EB">
      <w:pPr>
        <w:pStyle w:val="OutlineL3"/>
        <w:tabs>
          <w:tab w:val="clear" w:pos="2160"/>
          <w:tab w:val="num" w:pos="1800"/>
        </w:tabs>
        <w:rPr>
          <w:rFonts w:ascii="Avenir Book" w:hAnsi="Avenir Book"/>
          <w:sz w:val="21"/>
          <w:szCs w:val="21"/>
          <w:u w:val="single"/>
        </w:rPr>
      </w:pPr>
      <w:r w:rsidRPr="00D960F9">
        <w:rPr>
          <w:rFonts w:ascii="Avenir Book" w:hAnsi="Avenir Book"/>
          <w:sz w:val="21"/>
          <w:szCs w:val="21"/>
          <w:u w:val="single"/>
        </w:rPr>
        <w:t>Public Accommodations</w:t>
      </w:r>
    </w:p>
    <w:p w:rsidR="00EE7F5E" w:rsidRPr="00724CF8" w:rsidRDefault="00246FDE" w:rsidP="00B411D7">
      <w:pPr>
        <w:rPr>
          <w:rFonts w:ascii="Avenir Book" w:hAnsi="Avenir Book"/>
          <w:sz w:val="21"/>
          <w:szCs w:val="21"/>
        </w:rPr>
      </w:pPr>
      <w:r w:rsidRPr="00724CF8">
        <w:rPr>
          <w:rFonts w:ascii="Avenir Book" w:hAnsi="Avenir Book"/>
          <w:sz w:val="21"/>
          <w:szCs w:val="21"/>
        </w:rPr>
        <w:t xml:space="preserve">The ADA provides, in relevant part, that “[n]o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accommodation.” (42 U.S.C. § 12182(a).)  </w:t>
      </w:r>
      <w:r w:rsidR="00B411D7" w:rsidRPr="00724CF8">
        <w:rPr>
          <w:rFonts w:ascii="Avenir Book" w:hAnsi="Avenir Book"/>
          <w:sz w:val="21"/>
          <w:szCs w:val="21"/>
        </w:rPr>
        <w:t>A</w:t>
      </w:r>
      <w:r w:rsidR="00EE7F5E" w:rsidRPr="00724CF8">
        <w:rPr>
          <w:rFonts w:ascii="Avenir Book" w:hAnsi="Avenir Book"/>
          <w:sz w:val="21"/>
          <w:szCs w:val="21"/>
        </w:rPr>
        <w:t xml:space="preserve"> public accommodation </w:t>
      </w:r>
      <w:r w:rsidR="00B411D7" w:rsidRPr="00724CF8">
        <w:rPr>
          <w:rFonts w:ascii="Avenir Book" w:hAnsi="Avenir Book"/>
          <w:sz w:val="21"/>
          <w:szCs w:val="21"/>
        </w:rPr>
        <w:t>is</w:t>
      </w:r>
      <w:r w:rsidR="00EE7F5E" w:rsidRPr="00724CF8">
        <w:rPr>
          <w:rFonts w:ascii="Avenir Book" w:hAnsi="Avenir Book"/>
          <w:sz w:val="21"/>
          <w:szCs w:val="21"/>
        </w:rPr>
        <w:t xml:space="preserve"> facility operated by a private entity whose operations affect commerce and fall within at least one of the following categories:</w:t>
      </w:r>
    </w:p>
    <w:p w:rsidR="00B411D7" w:rsidRPr="00724CF8" w:rsidRDefault="00B411D7" w:rsidP="00B411D7">
      <w:pPr>
        <w:pStyle w:val="ListParagraph"/>
        <w:rPr>
          <w:rFonts w:ascii="Avenir Book" w:hAnsi="Avenir Book"/>
          <w:sz w:val="21"/>
          <w:szCs w:val="21"/>
        </w:rPr>
      </w:pPr>
    </w:p>
    <w:p w:rsidR="00B411D7" w:rsidRPr="00724CF8" w:rsidRDefault="00246FDE" w:rsidP="00246FDE">
      <w:pPr>
        <w:pStyle w:val="ListParagraph"/>
        <w:numPr>
          <w:ilvl w:val="0"/>
          <w:numId w:val="24"/>
        </w:numPr>
        <w:rPr>
          <w:rFonts w:ascii="Avenir Book" w:hAnsi="Avenir Book"/>
          <w:sz w:val="21"/>
          <w:szCs w:val="21"/>
        </w:rPr>
      </w:pPr>
      <w:r w:rsidRPr="00724CF8">
        <w:rPr>
          <w:rFonts w:ascii="Avenir Book" w:hAnsi="Avenir Book"/>
          <w:sz w:val="21"/>
          <w:szCs w:val="21"/>
        </w:rPr>
        <w:t>An inn, hotel, motel, or other p</w:t>
      </w:r>
      <w:r w:rsidR="00EE7F5E" w:rsidRPr="00724CF8">
        <w:rPr>
          <w:rFonts w:ascii="Avenir Book" w:hAnsi="Avenir Book"/>
          <w:sz w:val="21"/>
          <w:szCs w:val="21"/>
        </w:rPr>
        <w:t>lace of lodging</w:t>
      </w:r>
      <w:r w:rsidRPr="00724CF8">
        <w:rPr>
          <w:rFonts w:ascii="Avenir Book" w:hAnsi="Avenir Book"/>
          <w:sz w:val="21"/>
          <w:szCs w:val="21"/>
        </w:rPr>
        <w:t>;</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restaurant, bar, or other establishment serving food or drink;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motion picture house, theater, concert hall, stadium, or other place of exhibition or entertainment;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An auditorium, convention center, lecture hall, or other place of public gathering;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bakery, grocery store, clothing store, hardware store, shopping center, or other sales or rental establishment;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laundromat, dry-cleaner, bank, barber shop, beauty shop, travel service, shoe repair service, funeral parlor, gas station, office of an accountant or lawyer, pharmacy, insurance office, professional office of a health care provider, hospital, or other service establishment;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terminal, depot, or other station used for specified public transportation;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museum, library, gallery, or other place of public display or collection;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park, zoo, amusement park, or other place of recreation;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nursery, elementary, secondary, undergraduate, or postgraduate private school, or other place of education;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day care center, senior citizen center, homeless shelter, food bank, adoption agency, or other social service center establishment; and </w:t>
      </w:r>
    </w:p>
    <w:p w:rsidR="00EE7F5E" w:rsidRPr="00724CF8" w:rsidRDefault="00EE7F5E" w:rsidP="00246FDE">
      <w:pPr>
        <w:pStyle w:val="ListParagraph"/>
        <w:numPr>
          <w:ilvl w:val="0"/>
          <w:numId w:val="24"/>
        </w:numPr>
        <w:rPr>
          <w:rFonts w:ascii="Avenir Book" w:hAnsi="Avenir Book"/>
          <w:sz w:val="21"/>
          <w:szCs w:val="21"/>
        </w:rPr>
      </w:pPr>
      <w:r w:rsidRPr="00724CF8">
        <w:rPr>
          <w:rFonts w:ascii="Avenir Book" w:hAnsi="Avenir Book"/>
          <w:sz w:val="21"/>
          <w:szCs w:val="21"/>
        </w:rPr>
        <w:t xml:space="preserve">A gymnasium, health spa, bowling alley, golf course, or other place of exercise or recreation. </w:t>
      </w:r>
    </w:p>
    <w:p w:rsidR="00EE7F5E" w:rsidRPr="00724CF8" w:rsidRDefault="00EE7F5E" w:rsidP="00B411D7">
      <w:pPr>
        <w:pStyle w:val="ListParagraph"/>
        <w:rPr>
          <w:rFonts w:ascii="Avenir Book" w:hAnsi="Avenir Book"/>
          <w:sz w:val="21"/>
          <w:szCs w:val="21"/>
        </w:rPr>
      </w:pPr>
    </w:p>
    <w:p w:rsidR="00592CDA" w:rsidRPr="00724CF8" w:rsidRDefault="00EE7F5E" w:rsidP="00592CDA">
      <w:pPr>
        <w:rPr>
          <w:rFonts w:ascii="Avenir Book" w:hAnsi="Avenir Book"/>
          <w:sz w:val="21"/>
          <w:szCs w:val="21"/>
        </w:rPr>
      </w:pPr>
      <w:r w:rsidRPr="00724CF8">
        <w:rPr>
          <w:rFonts w:ascii="Avenir Book" w:hAnsi="Avenir Book"/>
          <w:sz w:val="21"/>
          <w:szCs w:val="21"/>
        </w:rPr>
        <w:t>(</w:t>
      </w:r>
      <w:r w:rsidR="00246FDE" w:rsidRPr="00724CF8">
        <w:rPr>
          <w:rFonts w:ascii="Avenir Book" w:hAnsi="Avenir Book"/>
          <w:sz w:val="21"/>
          <w:szCs w:val="21"/>
        </w:rPr>
        <w:t xml:space="preserve">42 U.S.C. § 12181(7); </w:t>
      </w:r>
      <w:r w:rsidRPr="00724CF8">
        <w:rPr>
          <w:rFonts w:ascii="Avenir Book" w:hAnsi="Avenir Book"/>
          <w:sz w:val="21"/>
          <w:szCs w:val="21"/>
        </w:rPr>
        <w:t>28 C.F.R. § 36.104</w:t>
      </w:r>
      <w:r w:rsidR="00246FDE" w:rsidRPr="00724CF8">
        <w:rPr>
          <w:rFonts w:ascii="Avenir Book" w:hAnsi="Avenir Book"/>
          <w:sz w:val="21"/>
          <w:szCs w:val="21"/>
        </w:rPr>
        <w:t>.</w:t>
      </w:r>
      <w:r w:rsidR="00196620">
        <w:rPr>
          <w:rFonts w:ascii="Avenir Book" w:hAnsi="Avenir Book"/>
          <w:sz w:val="21"/>
          <w:szCs w:val="21"/>
        </w:rPr>
        <w:t xml:space="preserve">)  </w:t>
      </w:r>
      <w:r w:rsidR="00592CDA" w:rsidRPr="00724CF8">
        <w:rPr>
          <w:rFonts w:ascii="Avenir Book" w:hAnsi="Avenir Book"/>
          <w:sz w:val="21"/>
          <w:szCs w:val="21"/>
        </w:rPr>
        <w:t xml:space="preserve">These categories are by no means exhaustive. Instead, and as the U.S. Supreme Court has </w:t>
      </w:r>
      <w:r w:rsidR="00ED51B2" w:rsidRPr="00724CF8">
        <w:rPr>
          <w:rFonts w:ascii="Avenir Book" w:hAnsi="Avenir Book"/>
          <w:sz w:val="21"/>
          <w:szCs w:val="21"/>
        </w:rPr>
        <w:t>explained</w:t>
      </w:r>
      <w:r w:rsidR="00592CDA" w:rsidRPr="00724CF8">
        <w:rPr>
          <w:rFonts w:ascii="Avenir Book" w:hAnsi="Avenir Book"/>
          <w:sz w:val="21"/>
          <w:szCs w:val="21"/>
        </w:rPr>
        <w:t>, “the legislative history indicates [that categories of public accommodations] ‘should be construed liberally’ to afford people with disabilities ‘equal access’ to the wide variety of establishments available to the nondisabled [sic].”  (PGA Tour, Inc. v. Martin, 532 U.S. 661, 676-77 [2001].)</w:t>
      </w:r>
    </w:p>
    <w:p w:rsidR="00592CDA" w:rsidRPr="00724CF8" w:rsidRDefault="00592CDA" w:rsidP="00246FDE">
      <w:pPr>
        <w:rPr>
          <w:rFonts w:ascii="Avenir Book" w:hAnsi="Avenir Book"/>
          <w:sz w:val="21"/>
          <w:szCs w:val="21"/>
        </w:rPr>
      </w:pPr>
    </w:p>
    <w:p w:rsidR="00FF15F3" w:rsidRPr="00724CF8" w:rsidRDefault="0011719C" w:rsidP="00246FDE">
      <w:pPr>
        <w:rPr>
          <w:rFonts w:ascii="Avenir Book" w:hAnsi="Avenir Book"/>
          <w:sz w:val="21"/>
          <w:szCs w:val="21"/>
        </w:rPr>
      </w:pPr>
      <w:r w:rsidRPr="00724CF8">
        <w:rPr>
          <w:rFonts w:ascii="Avenir Book" w:hAnsi="Avenir Book"/>
          <w:sz w:val="21"/>
          <w:szCs w:val="21"/>
        </w:rPr>
        <w:t xml:space="preserve">As </w:t>
      </w:r>
      <w:r w:rsidR="00ED51B2" w:rsidRPr="00724CF8">
        <w:rPr>
          <w:rFonts w:ascii="Avenir Book" w:hAnsi="Avenir Book"/>
          <w:sz w:val="21"/>
          <w:szCs w:val="21"/>
        </w:rPr>
        <w:t>the</w:t>
      </w:r>
      <w:r w:rsidRPr="00724CF8">
        <w:rPr>
          <w:rFonts w:ascii="Avenir Book" w:hAnsi="Avenir Book"/>
          <w:sz w:val="21"/>
          <w:szCs w:val="21"/>
        </w:rPr>
        <w:t xml:space="preserve"> list </w:t>
      </w:r>
      <w:r w:rsidR="00ED51B2" w:rsidRPr="00724CF8">
        <w:rPr>
          <w:rFonts w:ascii="Avenir Book" w:hAnsi="Avenir Book"/>
          <w:sz w:val="21"/>
          <w:szCs w:val="21"/>
        </w:rPr>
        <w:t xml:space="preserve">above </w:t>
      </w:r>
      <w:r w:rsidRPr="00724CF8">
        <w:rPr>
          <w:rFonts w:ascii="Avenir Book" w:hAnsi="Avenir Book"/>
          <w:sz w:val="21"/>
          <w:szCs w:val="21"/>
        </w:rPr>
        <w:t>confirms,</w:t>
      </w:r>
      <w:r w:rsidR="004D7E9A" w:rsidRPr="00724CF8">
        <w:rPr>
          <w:rFonts w:ascii="Avenir Book" w:hAnsi="Avenir Book"/>
          <w:sz w:val="21"/>
          <w:szCs w:val="21"/>
        </w:rPr>
        <w:t xml:space="preserve"> and as is discussed in greater detail elsewhere in this Toolkit</w:t>
      </w:r>
      <w:r w:rsidR="007C59D4" w:rsidRPr="00724CF8">
        <w:rPr>
          <w:rFonts w:ascii="Avenir Book" w:hAnsi="Avenir Book"/>
          <w:sz w:val="21"/>
          <w:szCs w:val="21"/>
        </w:rPr>
        <w:t xml:space="preserve"> at Section </w:t>
      </w:r>
      <w:r w:rsidR="00BB5C21" w:rsidRPr="00724CF8">
        <w:rPr>
          <w:rFonts w:ascii="Avenir Book" w:hAnsi="Avenir Book"/>
          <w:sz w:val="21"/>
          <w:szCs w:val="21"/>
        </w:rPr>
        <w:t>XI</w:t>
      </w:r>
      <w:r w:rsidR="004D7E9A" w:rsidRPr="00724CF8">
        <w:rPr>
          <w:rFonts w:ascii="Avenir Book" w:hAnsi="Avenir Book"/>
          <w:sz w:val="21"/>
          <w:szCs w:val="21"/>
        </w:rPr>
        <w:t xml:space="preserve">, various additional </w:t>
      </w:r>
      <w:r w:rsidR="00ED51B2" w:rsidRPr="00724CF8">
        <w:rPr>
          <w:rFonts w:ascii="Avenir Book" w:hAnsi="Avenir Book"/>
          <w:sz w:val="21"/>
          <w:szCs w:val="21"/>
        </w:rPr>
        <w:t>facilities</w:t>
      </w:r>
      <w:r w:rsidR="004D7E9A" w:rsidRPr="00724CF8">
        <w:rPr>
          <w:rFonts w:ascii="Avenir Book" w:hAnsi="Avenir Book"/>
          <w:sz w:val="21"/>
          <w:szCs w:val="21"/>
        </w:rPr>
        <w:t xml:space="preserve"> </w:t>
      </w:r>
      <w:r w:rsidR="00993012" w:rsidRPr="00724CF8">
        <w:rPr>
          <w:rFonts w:ascii="Avenir Book" w:hAnsi="Avenir Book"/>
          <w:sz w:val="21"/>
          <w:szCs w:val="21"/>
        </w:rPr>
        <w:t xml:space="preserve">that are </w:t>
      </w:r>
      <w:r w:rsidR="004D7E9A" w:rsidRPr="00724CF8">
        <w:rPr>
          <w:rFonts w:ascii="Avenir Book" w:hAnsi="Avenir Book"/>
          <w:sz w:val="21"/>
          <w:szCs w:val="21"/>
        </w:rPr>
        <w:t xml:space="preserve">frequently provided in </w:t>
      </w:r>
      <w:r w:rsidR="00BB5C21" w:rsidRPr="00724CF8">
        <w:rPr>
          <w:rFonts w:ascii="Avenir Book" w:hAnsi="Avenir Book"/>
          <w:sz w:val="21"/>
          <w:szCs w:val="21"/>
        </w:rPr>
        <w:t xml:space="preserve">or </w:t>
      </w:r>
      <w:r w:rsidR="00435C8A" w:rsidRPr="00724CF8">
        <w:rPr>
          <w:rFonts w:ascii="Avenir Book" w:hAnsi="Avenir Book"/>
          <w:sz w:val="21"/>
          <w:szCs w:val="21"/>
        </w:rPr>
        <w:t>adjacent</w:t>
      </w:r>
      <w:r w:rsidR="000A71AB" w:rsidRPr="00724CF8">
        <w:rPr>
          <w:rFonts w:ascii="Avenir Book" w:hAnsi="Avenir Book"/>
          <w:sz w:val="21"/>
          <w:szCs w:val="21"/>
        </w:rPr>
        <w:t xml:space="preserve"> to</w:t>
      </w:r>
      <w:r w:rsidR="00BB5C21" w:rsidRPr="00724CF8">
        <w:rPr>
          <w:rFonts w:ascii="Avenir Book" w:hAnsi="Avenir Book"/>
          <w:sz w:val="21"/>
          <w:szCs w:val="21"/>
        </w:rPr>
        <w:t xml:space="preserve"> </w:t>
      </w:r>
      <w:r w:rsidR="00435C8A" w:rsidRPr="00724CF8">
        <w:rPr>
          <w:rFonts w:ascii="Avenir Book" w:hAnsi="Avenir Book"/>
          <w:sz w:val="21"/>
          <w:szCs w:val="21"/>
        </w:rPr>
        <w:t>a grocery store</w:t>
      </w:r>
      <w:r w:rsidR="004D7E9A" w:rsidRPr="00724CF8">
        <w:rPr>
          <w:rFonts w:ascii="Avenir Book" w:hAnsi="Avenir Book"/>
          <w:sz w:val="21"/>
          <w:szCs w:val="21"/>
        </w:rPr>
        <w:t xml:space="preserve">, such as bank </w:t>
      </w:r>
      <w:r w:rsidR="00BB5C21" w:rsidRPr="00724CF8">
        <w:rPr>
          <w:rFonts w:ascii="Avenir Book" w:hAnsi="Avenir Book"/>
          <w:sz w:val="21"/>
          <w:szCs w:val="21"/>
        </w:rPr>
        <w:t>branches, dining areas, and</w:t>
      </w:r>
      <w:r w:rsidR="004D7E9A" w:rsidRPr="00724CF8">
        <w:rPr>
          <w:rFonts w:ascii="Avenir Book" w:hAnsi="Avenir Book"/>
          <w:sz w:val="21"/>
          <w:szCs w:val="21"/>
        </w:rPr>
        <w:t xml:space="preserve"> coffee shop</w:t>
      </w:r>
      <w:r w:rsidR="00BB5C21" w:rsidRPr="00724CF8">
        <w:rPr>
          <w:rFonts w:ascii="Avenir Book" w:hAnsi="Avenir Book"/>
          <w:sz w:val="21"/>
          <w:szCs w:val="21"/>
        </w:rPr>
        <w:t>s</w:t>
      </w:r>
      <w:r w:rsidR="004D7E9A" w:rsidRPr="00724CF8">
        <w:rPr>
          <w:rFonts w:ascii="Avenir Book" w:hAnsi="Avenir Book"/>
          <w:sz w:val="21"/>
          <w:szCs w:val="21"/>
        </w:rPr>
        <w:t>,</w:t>
      </w:r>
      <w:r w:rsidR="00080164" w:rsidRPr="00724CF8">
        <w:rPr>
          <w:rFonts w:ascii="Avenir Book" w:hAnsi="Avenir Book"/>
          <w:sz w:val="21"/>
          <w:szCs w:val="21"/>
        </w:rPr>
        <w:t xml:space="preserve"> are also public accommodations,</w:t>
      </w:r>
      <w:r w:rsidR="004D7E9A" w:rsidRPr="00724CF8">
        <w:rPr>
          <w:rFonts w:ascii="Avenir Book" w:hAnsi="Avenir Book"/>
          <w:sz w:val="21"/>
          <w:szCs w:val="21"/>
        </w:rPr>
        <w:t xml:space="preserve"> and therefore also can </w:t>
      </w:r>
      <w:r w:rsidR="00993012" w:rsidRPr="00724CF8">
        <w:rPr>
          <w:rFonts w:ascii="Avenir Book" w:hAnsi="Avenir Book"/>
          <w:sz w:val="21"/>
          <w:szCs w:val="21"/>
        </w:rPr>
        <w:t>support an effort to</w:t>
      </w:r>
      <w:r w:rsidR="004D7E9A" w:rsidRPr="00724CF8">
        <w:rPr>
          <w:rFonts w:ascii="Avenir Book" w:hAnsi="Avenir Book"/>
          <w:sz w:val="21"/>
          <w:szCs w:val="21"/>
        </w:rPr>
        <w:t xml:space="preserve"> impose </w:t>
      </w:r>
      <w:r w:rsidR="00993012" w:rsidRPr="00724CF8">
        <w:rPr>
          <w:rFonts w:ascii="Avenir Book" w:hAnsi="Avenir Book"/>
          <w:sz w:val="21"/>
          <w:szCs w:val="21"/>
        </w:rPr>
        <w:t xml:space="preserve">legal </w:t>
      </w:r>
      <w:r w:rsidR="004D7E9A" w:rsidRPr="00724CF8">
        <w:rPr>
          <w:rFonts w:ascii="Avenir Book" w:hAnsi="Avenir Book"/>
          <w:sz w:val="21"/>
          <w:szCs w:val="21"/>
        </w:rPr>
        <w:t>liability for failure to comply with the ADA</w:t>
      </w:r>
      <w:r w:rsidR="0050421E" w:rsidRPr="00724CF8">
        <w:rPr>
          <w:rFonts w:ascii="Avenir Book" w:hAnsi="Avenir Book"/>
          <w:sz w:val="21"/>
          <w:szCs w:val="21"/>
        </w:rPr>
        <w:t xml:space="preserve"> or related California disability access laws</w:t>
      </w:r>
      <w:r w:rsidR="004D7E9A" w:rsidRPr="00724CF8">
        <w:rPr>
          <w:rFonts w:ascii="Avenir Book" w:hAnsi="Avenir Book"/>
          <w:sz w:val="21"/>
          <w:szCs w:val="21"/>
        </w:rPr>
        <w:t xml:space="preserve">. </w:t>
      </w:r>
    </w:p>
    <w:p w:rsidR="00C13C7D" w:rsidRPr="00724CF8" w:rsidRDefault="00C13C7D" w:rsidP="00246FDE">
      <w:pPr>
        <w:rPr>
          <w:rFonts w:ascii="Avenir Book" w:hAnsi="Avenir Book"/>
          <w:sz w:val="21"/>
          <w:szCs w:val="21"/>
        </w:rPr>
      </w:pPr>
    </w:p>
    <w:p w:rsidR="00C13C7D" w:rsidRPr="00724CF8" w:rsidRDefault="00C13C7D" w:rsidP="007C25EB">
      <w:pPr>
        <w:pStyle w:val="OutlineL3"/>
        <w:tabs>
          <w:tab w:val="clear" w:pos="2160"/>
          <w:tab w:val="num" w:pos="1800"/>
        </w:tabs>
        <w:rPr>
          <w:rFonts w:ascii="Avenir Book" w:hAnsi="Avenir Book"/>
          <w:sz w:val="21"/>
          <w:szCs w:val="21"/>
        </w:rPr>
      </w:pPr>
      <w:r w:rsidRPr="00724CF8">
        <w:rPr>
          <w:rFonts w:ascii="Avenir Book" w:hAnsi="Avenir Book"/>
          <w:sz w:val="21"/>
          <w:szCs w:val="21"/>
          <w:u w:val="single"/>
        </w:rPr>
        <w:t>Modifications in Policies, Practices, or Procedures</w:t>
      </w:r>
      <w:r w:rsidRPr="00724CF8">
        <w:rPr>
          <w:rFonts w:ascii="Avenir Book" w:hAnsi="Avenir Book"/>
          <w:sz w:val="21"/>
          <w:szCs w:val="21"/>
        </w:rPr>
        <w:t>.</w:t>
      </w:r>
    </w:p>
    <w:p w:rsidR="008174AF" w:rsidRPr="00724CF8" w:rsidRDefault="00C13C7D" w:rsidP="008174AF">
      <w:pPr>
        <w:rPr>
          <w:rFonts w:ascii="Avenir Book" w:hAnsi="Avenir Book"/>
          <w:sz w:val="21"/>
          <w:szCs w:val="21"/>
        </w:rPr>
      </w:pPr>
      <w:r w:rsidRPr="00724CF8">
        <w:rPr>
          <w:rFonts w:ascii="Avenir Book" w:hAnsi="Avenir Book"/>
          <w:sz w:val="21"/>
          <w:szCs w:val="21"/>
        </w:rPr>
        <w:t>Public accommodation</w:t>
      </w:r>
      <w:r w:rsidR="00393781" w:rsidRPr="00724CF8">
        <w:rPr>
          <w:rFonts w:ascii="Avenir Book" w:hAnsi="Avenir Book"/>
          <w:sz w:val="21"/>
          <w:szCs w:val="21"/>
        </w:rPr>
        <w:t>s must</w:t>
      </w:r>
      <w:r w:rsidRPr="00724CF8">
        <w:rPr>
          <w:rFonts w:ascii="Avenir Book" w:hAnsi="Avenir Book"/>
          <w:sz w:val="21"/>
          <w:szCs w:val="21"/>
        </w:rPr>
        <w:t xml:space="preserve"> make reasonable modifications in policies, practices, or procedures, when the modifications are necessary to afford goods, services, facilities, privileges, advantages, or accommodations to individuals with disabilities, unless the public accommodation can demonstrate that making the modifications would fundamentally alter the nature of the goods, services, facilities, privileges, advantages, or accommodations. (28 C.F.R. § 36.302(a).) </w:t>
      </w:r>
      <w:r w:rsidR="00393781" w:rsidRPr="00724CF8">
        <w:rPr>
          <w:rFonts w:ascii="Avenir Book" w:hAnsi="Avenir Book"/>
          <w:sz w:val="21"/>
          <w:szCs w:val="21"/>
        </w:rPr>
        <w:t>Two examples of such modifications are</w:t>
      </w:r>
      <w:r w:rsidRPr="00724CF8">
        <w:rPr>
          <w:rFonts w:ascii="Avenir Book" w:hAnsi="Avenir Book"/>
          <w:sz w:val="21"/>
          <w:szCs w:val="21"/>
        </w:rPr>
        <w:t xml:space="preserve"> </w:t>
      </w:r>
      <w:r w:rsidR="00EF2C4A" w:rsidRPr="00724CF8">
        <w:rPr>
          <w:rFonts w:ascii="Avenir Book" w:hAnsi="Avenir Book"/>
          <w:sz w:val="21"/>
          <w:szCs w:val="21"/>
        </w:rPr>
        <w:t xml:space="preserve">providing equivalent service to persons with mobility impairments at check-out aisles and </w:t>
      </w:r>
      <w:r w:rsidR="008174AF" w:rsidRPr="00724CF8">
        <w:rPr>
          <w:rFonts w:ascii="Avenir Book" w:hAnsi="Avenir Book"/>
          <w:sz w:val="21"/>
          <w:szCs w:val="21"/>
        </w:rPr>
        <w:t>admitting service animals</w:t>
      </w:r>
      <w:r w:rsidR="00393781" w:rsidRPr="00724CF8">
        <w:rPr>
          <w:rFonts w:ascii="Avenir Book" w:hAnsi="Avenir Book"/>
          <w:sz w:val="21"/>
          <w:szCs w:val="21"/>
        </w:rPr>
        <w:t xml:space="preserve"> into a place of public accommodation. These modifications are</w:t>
      </w:r>
      <w:r w:rsidR="008174AF" w:rsidRPr="00724CF8">
        <w:rPr>
          <w:rFonts w:ascii="Avenir Book" w:hAnsi="Avenir Book"/>
          <w:sz w:val="21"/>
          <w:szCs w:val="21"/>
        </w:rPr>
        <w:t xml:space="preserve"> discussed in greater detail in Sections </w:t>
      </w:r>
      <w:r w:rsidR="00EF2C4A" w:rsidRPr="00724CF8">
        <w:rPr>
          <w:rFonts w:ascii="Avenir Book" w:hAnsi="Avenir Book"/>
          <w:sz w:val="21"/>
          <w:szCs w:val="21"/>
        </w:rPr>
        <w:t>VIII and IX</w:t>
      </w:r>
      <w:r w:rsidR="008174AF" w:rsidRPr="00724CF8">
        <w:rPr>
          <w:rFonts w:ascii="Avenir Book" w:hAnsi="Avenir Book"/>
          <w:sz w:val="21"/>
          <w:szCs w:val="21"/>
        </w:rPr>
        <w:t xml:space="preserve"> of this Toolkit, respectively.</w:t>
      </w:r>
    </w:p>
    <w:p w:rsidR="008174AF" w:rsidRPr="00724CF8" w:rsidRDefault="008174AF" w:rsidP="007C25EB">
      <w:pPr>
        <w:pStyle w:val="OutlineL3"/>
        <w:tabs>
          <w:tab w:val="clear" w:pos="2160"/>
          <w:tab w:val="num" w:pos="1800"/>
        </w:tabs>
        <w:spacing w:before="240"/>
        <w:rPr>
          <w:rFonts w:ascii="Avenir Book" w:hAnsi="Avenir Book"/>
          <w:sz w:val="21"/>
          <w:szCs w:val="21"/>
          <w:u w:val="single"/>
        </w:rPr>
      </w:pPr>
      <w:r w:rsidRPr="00724CF8">
        <w:rPr>
          <w:rFonts w:ascii="Avenir Book" w:hAnsi="Avenir Book"/>
          <w:sz w:val="21"/>
          <w:szCs w:val="21"/>
          <w:u w:val="single"/>
        </w:rPr>
        <w:t>Auxiliary Aids and Services</w:t>
      </w:r>
    </w:p>
    <w:p w:rsidR="008174AF" w:rsidRPr="00724CF8" w:rsidRDefault="008174AF" w:rsidP="007C25EB">
      <w:pPr>
        <w:tabs>
          <w:tab w:val="num" w:pos="1800"/>
        </w:tabs>
        <w:rPr>
          <w:rFonts w:ascii="Avenir Book" w:hAnsi="Avenir Book"/>
          <w:sz w:val="21"/>
          <w:szCs w:val="21"/>
        </w:rPr>
      </w:pPr>
      <w:r w:rsidRPr="00724CF8">
        <w:rPr>
          <w:rFonts w:ascii="Avenir Book" w:hAnsi="Avenir Book"/>
          <w:sz w:val="21"/>
          <w:szCs w:val="21"/>
        </w:rPr>
        <w:t xml:space="preserve">Auxiliary aids and services are devices or services that enable persons with impaired sensory, manual, or speaking skills to have an equal opportunity to participate in, and enjoy the benefits of, programs or activities. (28 C.F.R. § 39.103.) A public accommodation must take those steps that may be necessary to ensure that no individual with a disability is excluded, denied services, segregated or otherwise treated differently than other individuals because of the absence of auxiliary aids and services, unless the public accommodation can demonstrate that taking those steps would fundamentally alter the nature of the goods, services, facilities, privileges, advantages, or accommodations being offered or would result in an undue burden, i.e., significant difficulty or expense. (28 C.F.R. § 36.303(a).) Auxiliary Aids and Services are discussed in greater detail in Section </w:t>
      </w:r>
      <w:r w:rsidR="00393781" w:rsidRPr="00724CF8">
        <w:rPr>
          <w:rFonts w:ascii="Avenir Book" w:hAnsi="Avenir Book"/>
          <w:sz w:val="21"/>
          <w:szCs w:val="21"/>
        </w:rPr>
        <w:t>X</w:t>
      </w:r>
      <w:r w:rsidRPr="00724CF8">
        <w:rPr>
          <w:rFonts w:ascii="Avenir Book" w:hAnsi="Avenir Book"/>
          <w:sz w:val="21"/>
          <w:szCs w:val="21"/>
        </w:rPr>
        <w:t xml:space="preserve"> of this Toolkit.</w:t>
      </w:r>
    </w:p>
    <w:p w:rsidR="007A401E" w:rsidRPr="00724CF8" w:rsidRDefault="0011719C" w:rsidP="007C25EB">
      <w:pPr>
        <w:pStyle w:val="OutlineL3"/>
        <w:tabs>
          <w:tab w:val="clear" w:pos="2160"/>
          <w:tab w:val="num" w:pos="1800"/>
        </w:tabs>
        <w:spacing w:before="240"/>
        <w:rPr>
          <w:rFonts w:ascii="Avenir Book" w:hAnsi="Avenir Book"/>
          <w:sz w:val="21"/>
          <w:szCs w:val="21"/>
        </w:rPr>
      </w:pPr>
      <w:r w:rsidRPr="00724CF8">
        <w:rPr>
          <w:rFonts w:ascii="Avenir Book" w:hAnsi="Avenir Book"/>
          <w:sz w:val="21"/>
          <w:szCs w:val="21"/>
          <w:u w:val="single"/>
        </w:rPr>
        <w:t>Architectural Barriers</w:t>
      </w:r>
      <w:r w:rsidR="009473F9" w:rsidRPr="00724CF8">
        <w:rPr>
          <w:rFonts w:ascii="Avenir Book" w:hAnsi="Avenir Book"/>
          <w:sz w:val="21"/>
          <w:szCs w:val="21"/>
          <w:u w:val="single"/>
        </w:rPr>
        <w:t xml:space="preserve"> in Existing Facilities.</w:t>
      </w:r>
    </w:p>
    <w:p w:rsidR="00130D1A" w:rsidRPr="00724CF8" w:rsidRDefault="009473F9" w:rsidP="007C25EB">
      <w:pPr>
        <w:tabs>
          <w:tab w:val="num" w:pos="1800"/>
        </w:tabs>
        <w:rPr>
          <w:rFonts w:ascii="Avenir Book" w:hAnsi="Avenir Book"/>
          <w:sz w:val="21"/>
          <w:szCs w:val="21"/>
        </w:rPr>
      </w:pPr>
      <w:r w:rsidRPr="00724CF8">
        <w:rPr>
          <w:rFonts w:ascii="Avenir Book" w:hAnsi="Avenir Book"/>
          <w:sz w:val="21"/>
          <w:szCs w:val="21"/>
        </w:rPr>
        <w:t xml:space="preserve">The ADA provides that discrimination includes the failure to remove architectural barriers in existing facilities where such removal is readily achievable.  (42 U.S.C. § 12182(b)(2)(A)(iv).) Architectural barriers are </w:t>
      </w:r>
      <w:r w:rsidR="002F5742" w:rsidRPr="00724CF8">
        <w:rPr>
          <w:rFonts w:ascii="Avenir Book" w:hAnsi="Avenir Book"/>
          <w:sz w:val="21"/>
          <w:szCs w:val="21"/>
        </w:rPr>
        <w:t xml:space="preserve">the </w:t>
      </w:r>
      <w:r w:rsidRPr="00724CF8">
        <w:rPr>
          <w:rFonts w:ascii="Avenir Book" w:hAnsi="Avenir Book"/>
          <w:sz w:val="21"/>
          <w:szCs w:val="21"/>
        </w:rPr>
        <w:t xml:space="preserve">physical elements of a facility that impede access by people with disabilities. Existing facilities </w:t>
      </w:r>
      <w:r w:rsidR="003B5D64" w:rsidRPr="00724CF8">
        <w:rPr>
          <w:rFonts w:ascii="Avenir Book" w:hAnsi="Avenir Book"/>
          <w:sz w:val="21"/>
          <w:szCs w:val="21"/>
        </w:rPr>
        <w:t>were</w:t>
      </w:r>
      <w:r w:rsidR="002F5742" w:rsidRPr="00724CF8">
        <w:rPr>
          <w:rFonts w:ascii="Avenir Book" w:hAnsi="Avenir Book"/>
          <w:sz w:val="21"/>
          <w:szCs w:val="21"/>
        </w:rPr>
        <w:t xml:space="preserve"> not explicitly defined</w:t>
      </w:r>
      <w:r w:rsidR="003B5D64" w:rsidRPr="00724CF8">
        <w:rPr>
          <w:rFonts w:ascii="Avenir Book" w:hAnsi="Avenir Book"/>
          <w:sz w:val="21"/>
          <w:szCs w:val="21"/>
        </w:rPr>
        <w:t xml:space="preserve"> un</w:t>
      </w:r>
      <w:r w:rsidR="002F5742" w:rsidRPr="00724CF8">
        <w:rPr>
          <w:rFonts w:ascii="Avenir Book" w:hAnsi="Avenir Book"/>
          <w:sz w:val="21"/>
          <w:szCs w:val="21"/>
        </w:rPr>
        <w:t>der the prior 1991 ADA regulations</w:t>
      </w:r>
      <w:r w:rsidR="00130D1A" w:rsidRPr="00724CF8">
        <w:rPr>
          <w:rFonts w:ascii="Avenir Book" w:hAnsi="Avenir Book"/>
          <w:sz w:val="21"/>
          <w:szCs w:val="21"/>
        </w:rPr>
        <w:t xml:space="preserve">, </w:t>
      </w:r>
      <w:r w:rsidR="00130D1A" w:rsidRPr="00724CF8">
        <w:rPr>
          <w:rFonts w:ascii="Avenir Book" w:hAnsi="Avenir Book"/>
          <w:sz w:val="21"/>
          <w:szCs w:val="21"/>
        </w:rPr>
        <w:lastRenderedPageBreak/>
        <w:t>yet were understood to be those facilities in existence prior to applicability of the ADA</w:t>
      </w:r>
      <w:r w:rsidR="003B5D64" w:rsidRPr="00724CF8">
        <w:rPr>
          <w:rFonts w:ascii="Avenir Book" w:hAnsi="Avenir Book"/>
          <w:sz w:val="21"/>
          <w:szCs w:val="21"/>
        </w:rPr>
        <w:t xml:space="preserve">. However, the 2010 amendments </w:t>
      </w:r>
      <w:r w:rsidR="00130D1A" w:rsidRPr="00724CF8">
        <w:rPr>
          <w:rFonts w:ascii="Avenir Book" w:hAnsi="Avenir Book"/>
          <w:sz w:val="21"/>
          <w:szCs w:val="21"/>
        </w:rPr>
        <w:t>now define the term, explaining</w:t>
      </w:r>
      <w:r w:rsidR="003B5D64" w:rsidRPr="00724CF8">
        <w:rPr>
          <w:rFonts w:ascii="Avenir Book" w:hAnsi="Avenir Book"/>
          <w:sz w:val="21"/>
          <w:szCs w:val="21"/>
        </w:rPr>
        <w:t xml:space="preserve"> that an existing facility means a facility in existence on any given date, without regard to whether the facility may also be considered ne</w:t>
      </w:r>
      <w:r w:rsidR="00130D1A" w:rsidRPr="00724CF8">
        <w:rPr>
          <w:rFonts w:ascii="Avenir Book" w:hAnsi="Avenir Book"/>
          <w:sz w:val="21"/>
          <w:szCs w:val="21"/>
        </w:rPr>
        <w:t>wly constructed or altered</w:t>
      </w:r>
      <w:r w:rsidR="003B5D64" w:rsidRPr="00724CF8">
        <w:rPr>
          <w:rFonts w:ascii="Avenir Book" w:hAnsi="Avenir Book"/>
          <w:sz w:val="21"/>
          <w:szCs w:val="21"/>
        </w:rPr>
        <w:t>. (28 C.F.R. § 36.104.)  Department of Justice guidance explains</w:t>
      </w:r>
      <w:r w:rsidR="00130D1A" w:rsidRPr="00724CF8">
        <w:rPr>
          <w:rFonts w:ascii="Avenir Book" w:hAnsi="Avenir Book"/>
          <w:sz w:val="21"/>
          <w:szCs w:val="21"/>
        </w:rPr>
        <w:t xml:space="preserve"> the meaning behind this new definition:</w:t>
      </w:r>
      <w:r w:rsidR="003B5D64" w:rsidRPr="00724CF8">
        <w:rPr>
          <w:rFonts w:ascii="Avenir Book" w:hAnsi="Avenir Book"/>
          <w:sz w:val="21"/>
          <w:szCs w:val="21"/>
        </w:rPr>
        <w:t xml:space="preserve"> </w:t>
      </w:r>
    </w:p>
    <w:p w:rsidR="00130D1A" w:rsidRPr="00724CF8" w:rsidRDefault="00130D1A" w:rsidP="00246FDE">
      <w:pPr>
        <w:rPr>
          <w:rFonts w:ascii="Avenir Book" w:hAnsi="Avenir Book"/>
          <w:sz w:val="21"/>
          <w:szCs w:val="21"/>
        </w:rPr>
      </w:pPr>
    </w:p>
    <w:p w:rsidR="00130D1A" w:rsidRPr="00724CF8" w:rsidRDefault="003B5D64" w:rsidP="00130D1A">
      <w:pPr>
        <w:pStyle w:val="Quote"/>
        <w:rPr>
          <w:rFonts w:ascii="Avenir Book" w:hAnsi="Avenir Book"/>
          <w:sz w:val="21"/>
          <w:szCs w:val="21"/>
        </w:rPr>
      </w:pPr>
      <w:r w:rsidRPr="00724CF8">
        <w:rPr>
          <w:rFonts w:ascii="Avenir Book" w:hAnsi="Avenir Book"/>
          <w:sz w:val="21"/>
          <w:szCs w:val="21"/>
        </w:rPr>
        <w:t xml:space="preserve">A newly constructed facility remains subject to the accessibility standards in effect at the time of design and construction, with respect to those elements for which, at that time, there were applicable ADA Standards. That same facility, however, after construction, is also an existing facility, and subject to the public accommodation's continuing obligation to remove barriers where it is readily achievable to do so. </w:t>
      </w:r>
    </w:p>
    <w:p w:rsidR="003B5D64" w:rsidRPr="00724CF8" w:rsidRDefault="003B5D64" w:rsidP="00130D1A">
      <w:pPr>
        <w:rPr>
          <w:rFonts w:ascii="Avenir Book" w:hAnsi="Avenir Book"/>
          <w:sz w:val="21"/>
          <w:szCs w:val="21"/>
        </w:rPr>
      </w:pPr>
      <w:r w:rsidRPr="00724CF8">
        <w:rPr>
          <w:rFonts w:ascii="Avenir Book" w:hAnsi="Avenir Book"/>
          <w:sz w:val="21"/>
          <w:szCs w:val="21"/>
        </w:rPr>
        <w:t>(Appendix A to Part 36—Guidance on Revisions to ADA Regulation on Nondiscrimination on the Basis of Disability by Public Accommodations and Commercial Facilities, available at http://www.ada.gov/regs2010/titleIII_2010/titleIII_2010_regulations.htm#a101.)</w:t>
      </w:r>
    </w:p>
    <w:p w:rsidR="009473F9" w:rsidRPr="00724CF8" w:rsidRDefault="009473F9" w:rsidP="00246FDE">
      <w:pPr>
        <w:rPr>
          <w:rFonts w:ascii="Avenir Book" w:hAnsi="Avenir Book"/>
          <w:sz w:val="21"/>
          <w:szCs w:val="21"/>
        </w:rPr>
      </w:pPr>
    </w:p>
    <w:p w:rsidR="009473F9" w:rsidRPr="00724CF8" w:rsidRDefault="009473F9" w:rsidP="00246FDE">
      <w:pPr>
        <w:rPr>
          <w:rFonts w:ascii="Avenir Book" w:hAnsi="Avenir Book"/>
          <w:sz w:val="21"/>
          <w:szCs w:val="21"/>
        </w:rPr>
      </w:pPr>
      <w:r w:rsidRPr="00724CF8">
        <w:rPr>
          <w:rFonts w:ascii="Avenir Book" w:hAnsi="Avenir Book"/>
          <w:sz w:val="21"/>
          <w:szCs w:val="21"/>
        </w:rPr>
        <w:t>All public accommodations must remove architectural barriers and communication barriers</w:t>
      </w:r>
      <w:r w:rsidRPr="00724CF8">
        <w:rPr>
          <w:rStyle w:val="FootnoteReference"/>
          <w:rFonts w:ascii="Avenir Book" w:hAnsi="Avenir Book"/>
          <w:sz w:val="21"/>
          <w:szCs w:val="21"/>
        </w:rPr>
        <w:footnoteReference w:id="2"/>
      </w:r>
      <w:r w:rsidRPr="00724CF8">
        <w:rPr>
          <w:rFonts w:ascii="Avenir Book" w:hAnsi="Avenir Book"/>
          <w:sz w:val="21"/>
          <w:szCs w:val="21"/>
        </w:rPr>
        <w:t xml:space="preserve"> that are structural in nature in existing facilities when it is readily achievable to do so. The term facility includes all or any portion of buildings, structures, sites, complexes, equipment, rolling stock or other conveyances, roads, walks, passageways, parking lots, or other real or personal property, including the site where the building, property, structure, or equipment is located. (28 C.F.R. § 36.104.) </w:t>
      </w:r>
      <w:r w:rsidR="008D6A65" w:rsidRPr="00724CF8">
        <w:rPr>
          <w:rFonts w:ascii="Avenir Book" w:hAnsi="Avenir Book"/>
          <w:sz w:val="21"/>
          <w:szCs w:val="21"/>
        </w:rPr>
        <w:t xml:space="preserve"> </w:t>
      </w:r>
      <w:r w:rsidRPr="00724CF8">
        <w:rPr>
          <w:rFonts w:ascii="Avenir Book" w:hAnsi="Avenir Book"/>
          <w:sz w:val="21"/>
          <w:szCs w:val="21"/>
        </w:rPr>
        <w:t>Both temporary and permanent facilities are required to comply with the ADA.</w:t>
      </w:r>
    </w:p>
    <w:p w:rsidR="0018490A" w:rsidRPr="00724CF8" w:rsidRDefault="0018490A" w:rsidP="00246FDE">
      <w:pPr>
        <w:rPr>
          <w:rFonts w:ascii="Avenir Book" w:hAnsi="Avenir Book"/>
          <w:sz w:val="21"/>
          <w:szCs w:val="21"/>
        </w:rPr>
      </w:pPr>
    </w:p>
    <w:p w:rsidR="0018490A" w:rsidRPr="00724CF8" w:rsidRDefault="00631E82" w:rsidP="0018490A">
      <w:pPr>
        <w:rPr>
          <w:rFonts w:ascii="Avenir Book" w:hAnsi="Avenir Book"/>
          <w:sz w:val="21"/>
          <w:szCs w:val="21"/>
        </w:rPr>
      </w:pPr>
      <w:r w:rsidRPr="00724CF8">
        <w:rPr>
          <w:rFonts w:ascii="Avenir Book" w:hAnsi="Avenir Book"/>
          <w:sz w:val="21"/>
          <w:szCs w:val="21"/>
        </w:rPr>
        <w:t>“</w:t>
      </w:r>
      <w:r w:rsidR="0018490A" w:rsidRPr="00724CF8">
        <w:rPr>
          <w:rFonts w:ascii="Avenir Book" w:hAnsi="Avenir Book"/>
          <w:sz w:val="21"/>
          <w:szCs w:val="21"/>
        </w:rPr>
        <w:t>Readily achievable</w:t>
      </w:r>
      <w:r w:rsidRPr="00724CF8">
        <w:rPr>
          <w:rFonts w:ascii="Avenir Book" w:hAnsi="Avenir Book"/>
          <w:sz w:val="21"/>
          <w:szCs w:val="21"/>
        </w:rPr>
        <w:t>”</w:t>
      </w:r>
      <w:r w:rsidR="0018490A" w:rsidRPr="00724CF8">
        <w:rPr>
          <w:rFonts w:ascii="Avenir Book" w:hAnsi="Avenir Book"/>
          <w:sz w:val="21"/>
          <w:szCs w:val="21"/>
        </w:rPr>
        <w:t xml:space="preserve"> means easily accomplishable and able to be carried out without much difficulty or expense. (</w:t>
      </w:r>
      <w:r w:rsidRPr="00724CF8">
        <w:rPr>
          <w:rFonts w:ascii="Avenir Book" w:hAnsi="Avenir Book"/>
          <w:sz w:val="21"/>
          <w:szCs w:val="21"/>
        </w:rPr>
        <w:t xml:space="preserve">42 U.S.C. § 12181(9); </w:t>
      </w:r>
      <w:r w:rsidR="0018490A" w:rsidRPr="00724CF8">
        <w:rPr>
          <w:rFonts w:ascii="Avenir Book" w:hAnsi="Avenir Book"/>
          <w:sz w:val="21"/>
          <w:szCs w:val="21"/>
        </w:rPr>
        <w:t xml:space="preserve">28 C.F.R. § 36.104.) </w:t>
      </w:r>
      <w:r w:rsidRPr="00724CF8">
        <w:rPr>
          <w:rFonts w:ascii="Avenir Book" w:hAnsi="Avenir Book"/>
          <w:sz w:val="21"/>
          <w:szCs w:val="21"/>
        </w:rPr>
        <w:t xml:space="preserve"> </w:t>
      </w:r>
      <w:r w:rsidR="0018490A" w:rsidRPr="00724CF8">
        <w:rPr>
          <w:rFonts w:ascii="Avenir Book" w:hAnsi="Avenir Book"/>
          <w:sz w:val="21"/>
          <w:szCs w:val="21"/>
        </w:rPr>
        <w:t>In determining whether an action is readily achievable, f</w:t>
      </w:r>
      <w:r w:rsidRPr="00724CF8">
        <w:rPr>
          <w:rFonts w:ascii="Avenir Book" w:hAnsi="Avenir Book"/>
          <w:sz w:val="21"/>
          <w:szCs w:val="21"/>
        </w:rPr>
        <w:t>actors to be considered include:</w:t>
      </w:r>
    </w:p>
    <w:p w:rsidR="0018490A" w:rsidRPr="00724CF8" w:rsidRDefault="0018490A" w:rsidP="0018490A">
      <w:pPr>
        <w:rPr>
          <w:rFonts w:ascii="Avenir Book" w:hAnsi="Avenir Book"/>
          <w:sz w:val="21"/>
          <w:szCs w:val="21"/>
        </w:rPr>
      </w:pPr>
    </w:p>
    <w:p w:rsidR="0018490A" w:rsidRPr="00235605" w:rsidRDefault="0018490A" w:rsidP="0018490A">
      <w:pPr>
        <w:pStyle w:val="ListParagraph"/>
        <w:numPr>
          <w:ilvl w:val="0"/>
          <w:numId w:val="26"/>
        </w:numPr>
        <w:rPr>
          <w:rFonts w:ascii="Avenir Book" w:hAnsi="Avenir Book"/>
          <w:sz w:val="21"/>
          <w:szCs w:val="21"/>
        </w:rPr>
      </w:pPr>
      <w:r w:rsidRPr="00724CF8">
        <w:rPr>
          <w:rFonts w:ascii="Avenir Book" w:hAnsi="Avenir Book"/>
          <w:sz w:val="21"/>
          <w:szCs w:val="21"/>
        </w:rPr>
        <w:t>The nature and cost of the action needed;</w:t>
      </w:r>
    </w:p>
    <w:p w:rsidR="0018490A" w:rsidRPr="00724CF8" w:rsidRDefault="0018490A" w:rsidP="0018490A">
      <w:pPr>
        <w:pStyle w:val="ListParagraph"/>
        <w:numPr>
          <w:ilvl w:val="0"/>
          <w:numId w:val="26"/>
        </w:numPr>
        <w:rPr>
          <w:rFonts w:ascii="Avenir Book" w:hAnsi="Avenir Book"/>
          <w:sz w:val="21"/>
          <w:szCs w:val="21"/>
        </w:rPr>
      </w:pPr>
      <w:r w:rsidRPr="00724CF8">
        <w:rPr>
          <w:rFonts w:ascii="Avenir Book" w:hAnsi="Avenir Book"/>
          <w:sz w:val="21"/>
          <w:szCs w:val="21"/>
        </w:rPr>
        <w:t>The overall financial resources of the site or sites involved in the action; the number of persons employed at the site; the effect on expenses and resources; legitimate safety requirements that are necessary for safe operation, including crime prevention measures; or the impact otherwise of the action upon the operation of the site;</w:t>
      </w:r>
    </w:p>
    <w:p w:rsidR="0018490A" w:rsidRPr="00724CF8" w:rsidRDefault="0018490A" w:rsidP="0018490A">
      <w:pPr>
        <w:rPr>
          <w:rFonts w:ascii="Avenir Book" w:hAnsi="Avenir Book"/>
          <w:sz w:val="21"/>
          <w:szCs w:val="21"/>
        </w:rPr>
      </w:pPr>
    </w:p>
    <w:p w:rsidR="0018490A" w:rsidRPr="00235605" w:rsidRDefault="0018490A" w:rsidP="0018490A">
      <w:pPr>
        <w:pStyle w:val="ListParagraph"/>
        <w:numPr>
          <w:ilvl w:val="0"/>
          <w:numId w:val="26"/>
        </w:numPr>
        <w:rPr>
          <w:rFonts w:ascii="Avenir Book" w:hAnsi="Avenir Book"/>
          <w:sz w:val="21"/>
          <w:szCs w:val="21"/>
        </w:rPr>
      </w:pPr>
      <w:r w:rsidRPr="00724CF8">
        <w:rPr>
          <w:rFonts w:ascii="Avenir Book" w:hAnsi="Avenir Book"/>
          <w:sz w:val="21"/>
          <w:szCs w:val="21"/>
        </w:rPr>
        <w:t>The geographic separateness, and the administrative or fiscal relationship of the site or sites in question to any parent corporation or entity;</w:t>
      </w:r>
    </w:p>
    <w:p w:rsidR="0018490A" w:rsidRPr="00235605" w:rsidRDefault="0018490A" w:rsidP="0018490A">
      <w:pPr>
        <w:pStyle w:val="ListParagraph"/>
        <w:numPr>
          <w:ilvl w:val="0"/>
          <w:numId w:val="26"/>
        </w:numPr>
        <w:rPr>
          <w:rFonts w:ascii="Avenir Book" w:hAnsi="Avenir Book"/>
          <w:sz w:val="21"/>
          <w:szCs w:val="21"/>
        </w:rPr>
      </w:pPr>
      <w:r w:rsidRPr="00724CF8">
        <w:rPr>
          <w:rFonts w:ascii="Avenir Book" w:hAnsi="Avenir Book"/>
          <w:sz w:val="21"/>
          <w:szCs w:val="21"/>
        </w:rPr>
        <w:t>If applicable, the overall financial resources of any parent corporation or entity; the overall size of the parent corporation or entity with respect to the number of its employees; the number, type, and location of its facilities; and</w:t>
      </w:r>
    </w:p>
    <w:p w:rsidR="0018490A" w:rsidRPr="00724CF8" w:rsidRDefault="0018490A" w:rsidP="0018490A">
      <w:pPr>
        <w:pStyle w:val="ListParagraph"/>
        <w:numPr>
          <w:ilvl w:val="0"/>
          <w:numId w:val="26"/>
        </w:numPr>
        <w:rPr>
          <w:rFonts w:ascii="Avenir Book" w:hAnsi="Avenir Book"/>
          <w:sz w:val="21"/>
          <w:szCs w:val="21"/>
        </w:rPr>
      </w:pPr>
      <w:r w:rsidRPr="00724CF8">
        <w:rPr>
          <w:rFonts w:ascii="Avenir Book" w:hAnsi="Avenir Book"/>
          <w:sz w:val="21"/>
          <w:szCs w:val="21"/>
        </w:rPr>
        <w:t>If applicable, the type of operation or operations of any parent corporation or entity, including the composition, structure, and functions of the workforce of the parent corporation or entity.</w:t>
      </w:r>
    </w:p>
    <w:p w:rsidR="0018490A" w:rsidRPr="00724CF8" w:rsidRDefault="0018490A" w:rsidP="0018490A">
      <w:pPr>
        <w:rPr>
          <w:rFonts w:ascii="Avenir Book" w:hAnsi="Avenir Book"/>
          <w:sz w:val="21"/>
          <w:szCs w:val="21"/>
        </w:rPr>
      </w:pPr>
    </w:p>
    <w:p w:rsidR="0018490A" w:rsidRPr="00724CF8" w:rsidRDefault="0018490A" w:rsidP="0018490A">
      <w:pPr>
        <w:rPr>
          <w:rFonts w:ascii="Avenir Book" w:hAnsi="Avenir Book"/>
          <w:sz w:val="21"/>
          <w:szCs w:val="21"/>
        </w:rPr>
      </w:pPr>
      <w:r w:rsidRPr="00724CF8">
        <w:rPr>
          <w:rFonts w:ascii="Avenir Book" w:hAnsi="Avenir Book"/>
          <w:sz w:val="21"/>
          <w:szCs w:val="21"/>
        </w:rPr>
        <w:t>(</w:t>
      </w:r>
      <w:r w:rsidR="00631E82" w:rsidRPr="00724CF8">
        <w:rPr>
          <w:rFonts w:ascii="Avenir Book" w:hAnsi="Avenir Book"/>
          <w:sz w:val="21"/>
          <w:szCs w:val="21"/>
        </w:rPr>
        <w:t>28 C.F.R. § 36.104(1)-(5).</w:t>
      </w:r>
      <w:r w:rsidR="00FA257E" w:rsidRPr="00724CF8">
        <w:rPr>
          <w:rFonts w:ascii="Avenir Book" w:hAnsi="Avenir Book"/>
          <w:sz w:val="21"/>
          <w:szCs w:val="21"/>
        </w:rPr>
        <w:t xml:space="preserve"> See also 42 U.S.C. § 12181(9)(A)-(D).</w:t>
      </w:r>
      <w:r w:rsidR="00631E82" w:rsidRPr="00724CF8">
        <w:rPr>
          <w:rFonts w:ascii="Avenir Book" w:hAnsi="Avenir Book"/>
          <w:sz w:val="21"/>
          <w:szCs w:val="21"/>
        </w:rPr>
        <w:t>)</w:t>
      </w:r>
    </w:p>
    <w:p w:rsidR="00631E82" w:rsidRPr="00724CF8" w:rsidRDefault="00631E82" w:rsidP="0018490A">
      <w:pPr>
        <w:rPr>
          <w:rFonts w:ascii="Avenir Book" w:hAnsi="Avenir Book"/>
          <w:sz w:val="21"/>
          <w:szCs w:val="21"/>
        </w:rPr>
      </w:pPr>
    </w:p>
    <w:p w:rsidR="00631E82" w:rsidRPr="00724CF8" w:rsidRDefault="00631E82" w:rsidP="0018490A">
      <w:pPr>
        <w:rPr>
          <w:rFonts w:ascii="Avenir Book" w:hAnsi="Avenir Book"/>
          <w:sz w:val="21"/>
          <w:szCs w:val="21"/>
        </w:rPr>
      </w:pPr>
      <w:r w:rsidRPr="00724CF8">
        <w:rPr>
          <w:rFonts w:ascii="Avenir Book" w:hAnsi="Avenir Book"/>
          <w:sz w:val="21"/>
          <w:szCs w:val="21"/>
        </w:rPr>
        <w:tab/>
        <w:t>Examples of readily achievable steps to remove barriers include:</w:t>
      </w:r>
    </w:p>
    <w:p w:rsidR="00F149D4" w:rsidRPr="00724CF8" w:rsidRDefault="00F149D4" w:rsidP="0018490A">
      <w:pPr>
        <w:rPr>
          <w:rFonts w:ascii="Avenir Book" w:hAnsi="Avenir Book"/>
          <w:sz w:val="21"/>
          <w:szCs w:val="21"/>
        </w:rPr>
      </w:pP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ramps;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Making curb cuts in sidewalks and entrances;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Repositioning shelves;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 xml:space="preserve">Rearranging tables, chairs, vending machines, display racks, and other </w:t>
      </w:r>
      <w:r w:rsidR="00B70F4D">
        <w:rPr>
          <w:rFonts w:ascii="Avenir Book" w:hAnsi="Avenir Book"/>
          <w:sz w:val="21"/>
          <w:szCs w:val="21"/>
        </w:rPr>
        <w:tab/>
      </w:r>
      <w:r w:rsidR="00B70F4D">
        <w:rPr>
          <w:rFonts w:ascii="Avenir Book" w:hAnsi="Avenir Book"/>
          <w:sz w:val="21"/>
          <w:szCs w:val="21"/>
        </w:rPr>
        <w:tab/>
      </w:r>
      <w:r w:rsidRPr="00724CF8">
        <w:rPr>
          <w:rFonts w:ascii="Avenir Book" w:hAnsi="Avenir Book"/>
          <w:sz w:val="21"/>
          <w:szCs w:val="21"/>
        </w:rPr>
        <w:t>furniture;</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Repositioning telephones;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Adding raised markings on elevator control buttons;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flashing alarm lights;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Widening doors;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offset hinges to widen doorways;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Eliminating a turnstile or providing an alternative accessible path;</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accessible door hardware;</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grab bars in toilet stalls;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Rearranging toilet partitions to increase maneuvering space;</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Insulating lavatory pipes under sinks to prevent burns;</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a raised toilet seat;</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a full-length bathroom mirror;</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Repositioning the paper towel dispenser in a bathroom;</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Creating designated accessible parking spaces;</w:t>
      </w:r>
    </w:p>
    <w:p w:rsidR="00631E82" w:rsidRPr="00724CF8" w:rsidRDefault="00631E82" w:rsidP="00196620">
      <w:pPr>
        <w:pStyle w:val="ListParagraph"/>
        <w:numPr>
          <w:ilvl w:val="0"/>
          <w:numId w:val="27"/>
        </w:numPr>
        <w:tabs>
          <w:tab w:val="left" w:pos="1800"/>
        </w:tabs>
        <w:ind w:left="1800"/>
        <w:rPr>
          <w:rFonts w:ascii="Avenir Book" w:hAnsi="Avenir Book"/>
          <w:sz w:val="21"/>
          <w:szCs w:val="21"/>
        </w:rPr>
      </w:pPr>
      <w:r w:rsidRPr="00724CF8">
        <w:rPr>
          <w:rFonts w:ascii="Avenir Book" w:hAnsi="Avenir Book"/>
          <w:sz w:val="21"/>
          <w:szCs w:val="21"/>
        </w:rPr>
        <w:t>Installing an accessible pap</w:t>
      </w:r>
      <w:r w:rsidR="00B70F4D">
        <w:rPr>
          <w:rFonts w:ascii="Avenir Book" w:hAnsi="Avenir Book"/>
          <w:sz w:val="21"/>
          <w:szCs w:val="21"/>
        </w:rPr>
        <w:t>er cup dispenser at an existing inaccessible</w:t>
      </w:r>
      <w:r w:rsidR="00B70F4D">
        <w:rPr>
          <w:rFonts w:ascii="Avenir Book" w:hAnsi="Avenir Book"/>
          <w:sz w:val="21"/>
          <w:szCs w:val="21"/>
        </w:rPr>
        <w:br/>
      </w:r>
      <w:r w:rsidRPr="00724CF8">
        <w:rPr>
          <w:rFonts w:ascii="Avenir Book" w:hAnsi="Avenir Book"/>
          <w:sz w:val="21"/>
          <w:szCs w:val="21"/>
        </w:rPr>
        <w:t>water fountain;</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 xml:space="preserve">Removing high pile, low density carpeting; or </w:t>
      </w:r>
    </w:p>
    <w:p w:rsidR="00631E82" w:rsidRPr="00724CF8" w:rsidRDefault="00631E82" w:rsidP="00B70F4D">
      <w:pPr>
        <w:pStyle w:val="ListParagraph"/>
        <w:numPr>
          <w:ilvl w:val="0"/>
          <w:numId w:val="27"/>
        </w:numPr>
        <w:tabs>
          <w:tab w:val="left" w:pos="1800"/>
        </w:tabs>
        <w:ind w:firstLine="720"/>
        <w:rPr>
          <w:rFonts w:ascii="Avenir Book" w:hAnsi="Avenir Book"/>
          <w:sz w:val="21"/>
          <w:szCs w:val="21"/>
        </w:rPr>
      </w:pPr>
      <w:r w:rsidRPr="00724CF8">
        <w:rPr>
          <w:rFonts w:ascii="Avenir Book" w:hAnsi="Avenir Book"/>
          <w:sz w:val="21"/>
          <w:szCs w:val="21"/>
        </w:rPr>
        <w:t>Installing vehicle hand controls.</w:t>
      </w:r>
    </w:p>
    <w:p w:rsidR="00F149D4" w:rsidRPr="00724CF8" w:rsidRDefault="00F149D4" w:rsidP="00F149D4">
      <w:pPr>
        <w:pStyle w:val="ListParagraph"/>
        <w:ind w:left="1440"/>
        <w:rPr>
          <w:rFonts w:ascii="Avenir Book" w:hAnsi="Avenir Book"/>
          <w:sz w:val="21"/>
          <w:szCs w:val="21"/>
        </w:rPr>
      </w:pPr>
    </w:p>
    <w:p w:rsidR="00F149D4" w:rsidRPr="00724CF8" w:rsidRDefault="00F149D4" w:rsidP="00F149D4">
      <w:pPr>
        <w:pStyle w:val="ListParagraph"/>
        <w:ind w:left="0"/>
        <w:rPr>
          <w:rFonts w:ascii="Avenir Book" w:hAnsi="Avenir Book"/>
          <w:sz w:val="21"/>
          <w:szCs w:val="21"/>
        </w:rPr>
      </w:pPr>
      <w:r w:rsidRPr="00724CF8">
        <w:rPr>
          <w:rFonts w:ascii="Avenir Book" w:hAnsi="Avenir Book"/>
          <w:sz w:val="21"/>
          <w:szCs w:val="21"/>
        </w:rPr>
        <w:t xml:space="preserve">(28 C.F.R. § 36.304(b).) </w:t>
      </w:r>
      <w:r w:rsidR="00933135" w:rsidRPr="00724CF8">
        <w:rPr>
          <w:rFonts w:ascii="Avenir Book" w:hAnsi="Avenir Book"/>
          <w:sz w:val="21"/>
          <w:szCs w:val="21"/>
        </w:rPr>
        <w:t xml:space="preserve"> </w:t>
      </w:r>
      <w:r w:rsidRPr="00724CF8">
        <w:rPr>
          <w:rFonts w:ascii="Avenir Book" w:hAnsi="Avenir Book"/>
          <w:sz w:val="21"/>
          <w:szCs w:val="21"/>
        </w:rPr>
        <w:t>To the extent a decision must be made with respect to which barriers should be addressed first, federal law even offers a ranking, or order of priority with respect to barrier removal. This is the priority public accommodations are urged to follow:</w:t>
      </w:r>
    </w:p>
    <w:p w:rsidR="00F149D4" w:rsidRPr="00724CF8" w:rsidRDefault="00F149D4" w:rsidP="00F149D4">
      <w:pPr>
        <w:pStyle w:val="ListParagraph"/>
        <w:ind w:left="0"/>
        <w:rPr>
          <w:rFonts w:ascii="Avenir Book" w:hAnsi="Avenir Book"/>
          <w:sz w:val="21"/>
          <w:szCs w:val="21"/>
        </w:rPr>
      </w:pPr>
    </w:p>
    <w:p w:rsidR="00F149D4" w:rsidRPr="00724CF8" w:rsidRDefault="00F149D4" w:rsidP="00F149D4">
      <w:pPr>
        <w:pStyle w:val="ListParagraph"/>
        <w:rPr>
          <w:rFonts w:ascii="Avenir Book" w:hAnsi="Avenir Book"/>
          <w:sz w:val="21"/>
          <w:szCs w:val="21"/>
        </w:rPr>
      </w:pPr>
      <w:r w:rsidRPr="00724CF8">
        <w:rPr>
          <w:rFonts w:ascii="Avenir Book" w:hAnsi="Avenir Book"/>
          <w:sz w:val="21"/>
          <w:szCs w:val="21"/>
        </w:rPr>
        <w:t xml:space="preserve">(1) First, a public accommodation should take measures to provide access to a place of public accommodation from public sidewalks, parking, or public transportation. These measures include, for example, installing an entrance ramp, widening entrances, and providing accessible parking spaces. </w:t>
      </w:r>
    </w:p>
    <w:p w:rsidR="00F149D4" w:rsidRPr="00724CF8" w:rsidRDefault="00F149D4" w:rsidP="00F149D4">
      <w:pPr>
        <w:pStyle w:val="ListParagraph"/>
        <w:rPr>
          <w:rFonts w:ascii="Avenir Book" w:hAnsi="Avenir Book"/>
          <w:sz w:val="21"/>
          <w:szCs w:val="21"/>
        </w:rPr>
      </w:pPr>
    </w:p>
    <w:p w:rsidR="00F149D4" w:rsidRPr="00724CF8" w:rsidRDefault="00F149D4" w:rsidP="00F149D4">
      <w:pPr>
        <w:pStyle w:val="ListParagraph"/>
        <w:rPr>
          <w:rFonts w:ascii="Avenir Book" w:hAnsi="Avenir Book"/>
          <w:sz w:val="21"/>
          <w:szCs w:val="21"/>
        </w:rPr>
      </w:pPr>
      <w:r w:rsidRPr="00724CF8">
        <w:rPr>
          <w:rFonts w:ascii="Avenir Book" w:hAnsi="Avenir Book"/>
          <w:sz w:val="21"/>
          <w:szCs w:val="21"/>
        </w:rPr>
        <w:lastRenderedPageBreak/>
        <w:t xml:space="preserve">(2) Second, a public accommodation should take measures to provide access to those areas of a place of public accommodation where goods and services are made available to the public. These measures include, for example, adjusting the layout of display racks, rearranging tables, providing </w:t>
      </w:r>
      <w:proofErr w:type="spellStart"/>
      <w:r w:rsidRPr="00724CF8">
        <w:rPr>
          <w:rFonts w:ascii="Avenir Book" w:hAnsi="Avenir Book"/>
          <w:sz w:val="21"/>
          <w:szCs w:val="21"/>
        </w:rPr>
        <w:t>Brailled</w:t>
      </w:r>
      <w:proofErr w:type="spellEnd"/>
      <w:r w:rsidRPr="00724CF8">
        <w:rPr>
          <w:rFonts w:ascii="Avenir Book" w:hAnsi="Avenir Book"/>
          <w:sz w:val="21"/>
          <w:szCs w:val="21"/>
        </w:rPr>
        <w:t xml:space="preserve"> and raised character signage, widening doors, providing visual alarms, and installing ramps. </w:t>
      </w:r>
    </w:p>
    <w:p w:rsidR="00F149D4" w:rsidRPr="00724CF8" w:rsidRDefault="00F149D4" w:rsidP="00F149D4">
      <w:pPr>
        <w:pStyle w:val="ListParagraph"/>
        <w:rPr>
          <w:rFonts w:ascii="Avenir Book" w:hAnsi="Avenir Book"/>
          <w:sz w:val="21"/>
          <w:szCs w:val="21"/>
        </w:rPr>
      </w:pPr>
    </w:p>
    <w:p w:rsidR="00F149D4" w:rsidRPr="00724CF8" w:rsidRDefault="00F149D4" w:rsidP="00F149D4">
      <w:pPr>
        <w:pStyle w:val="ListParagraph"/>
        <w:rPr>
          <w:rFonts w:ascii="Avenir Book" w:hAnsi="Avenir Book"/>
          <w:sz w:val="21"/>
          <w:szCs w:val="21"/>
        </w:rPr>
      </w:pPr>
      <w:r w:rsidRPr="00724CF8">
        <w:rPr>
          <w:rFonts w:ascii="Avenir Book" w:hAnsi="Avenir Book"/>
          <w:sz w:val="21"/>
          <w:szCs w:val="21"/>
        </w:rPr>
        <w:t xml:space="preserve">(3) Third, a public accommodation should take measures to provide access to restroom facilities. These measures include, for example, removal of obstructing furniture or vending machines, widening of doors, installation of ramps, providing accessible signage, widening of toilet stalls, and installation of grab bars. </w:t>
      </w:r>
    </w:p>
    <w:p w:rsidR="00F149D4" w:rsidRPr="00724CF8" w:rsidRDefault="00F149D4" w:rsidP="00F149D4">
      <w:pPr>
        <w:pStyle w:val="ListParagraph"/>
        <w:rPr>
          <w:rFonts w:ascii="Avenir Book" w:hAnsi="Avenir Book"/>
          <w:sz w:val="21"/>
          <w:szCs w:val="21"/>
        </w:rPr>
      </w:pPr>
    </w:p>
    <w:p w:rsidR="00F149D4" w:rsidRPr="00724CF8" w:rsidRDefault="00F149D4" w:rsidP="00F149D4">
      <w:pPr>
        <w:pStyle w:val="ListParagraph"/>
        <w:rPr>
          <w:rFonts w:ascii="Avenir Book" w:hAnsi="Avenir Book"/>
          <w:sz w:val="21"/>
          <w:szCs w:val="21"/>
        </w:rPr>
      </w:pPr>
      <w:r w:rsidRPr="00724CF8">
        <w:rPr>
          <w:rFonts w:ascii="Avenir Book" w:hAnsi="Avenir Book"/>
          <w:sz w:val="21"/>
          <w:szCs w:val="21"/>
        </w:rPr>
        <w:t>(4) Fourth, a public accommodation should take any other measures necessary to provide access to the goods, services, facilities, privileges, advantages, or accommodations of a place of public accommodation.</w:t>
      </w:r>
    </w:p>
    <w:p w:rsidR="00BB5C21" w:rsidRPr="00724CF8" w:rsidRDefault="00BB5C21" w:rsidP="00F149D4">
      <w:pPr>
        <w:pStyle w:val="ListParagraph"/>
        <w:rPr>
          <w:rFonts w:ascii="Avenir Book" w:hAnsi="Avenir Book"/>
          <w:sz w:val="21"/>
          <w:szCs w:val="21"/>
        </w:rPr>
      </w:pPr>
    </w:p>
    <w:p w:rsidR="008F3D83" w:rsidRPr="00724CF8" w:rsidRDefault="00F149D4" w:rsidP="00BB5C21">
      <w:pPr>
        <w:pStyle w:val="ListParagraph"/>
        <w:ind w:left="0"/>
        <w:rPr>
          <w:rFonts w:ascii="Avenir Book" w:hAnsi="Avenir Book"/>
          <w:sz w:val="21"/>
          <w:szCs w:val="21"/>
        </w:rPr>
      </w:pPr>
      <w:r w:rsidRPr="00724CF8">
        <w:rPr>
          <w:rFonts w:ascii="Avenir Book" w:hAnsi="Avenir Book"/>
          <w:sz w:val="21"/>
          <w:szCs w:val="21"/>
        </w:rPr>
        <w:t>(28 C.F.R. § 36.304(c).)</w:t>
      </w:r>
      <w:r w:rsidR="00BB5C21" w:rsidRPr="00724CF8">
        <w:rPr>
          <w:rFonts w:ascii="Avenir Book" w:hAnsi="Avenir Book"/>
          <w:sz w:val="21"/>
          <w:szCs w:val="21"/>
        </w:rPr>
        <w:t xml:space="preserve"> </w:t>
      </w:r>
      <w:r w:rsidR="00FA257E" w:rsidRPr="00724CF8">
        <w:rPr>
          <w:rFonts w:ascii="Avenir Book" w:hAnsi="Avenir Book"/>
          <w:sz w:val="21"/>
          <w:szCs w:val="21"/>
        </w:rPr>
        <w:t xml:space="preserve"> </w:t>
      </w:r>
      <w:r w:rsidR="008F3D83" w:rsidRPr="00724CF8">
        <w:rPr>
          <w:rFonts w:ascii="Avenir Book" w:hAnsi="Avenir Book"/>
          <w:sz w:val="21"/>
          <w:szCs w:val="21"/>
        </w:rPr>
        <w:t xml:space="preserve">Where a public accommodation can demonstrate that barrier removal is not readily achievable, the public accommodation </w:t>
      </w:r>
      <w:r w:rsidR="008316FC" w:rsidRPr="00724CF8">
        <w:rPr>
          <w:rFonts w:ascii="Avenir Book" w:hAnsi="Avenir Book"/>
          <w:sz w:val="21"/>
          <w:szCs w:val="21"/>
        </w:rPr>
        <w:t>must still</w:t>
      </w:r>
      <w:r w:rsidR="008F3D83" w:rsidRPr="00724CF8">
        <w:rPr>
          <w:rFonts w:ascii="Avenir Book" w:hAnsi="Avenir Book"/>
          <w:sz w:val="21"/>
          <w:szCs w:val="21"/>
        </w:rPr>
        <w:t xml:space="preserve"> make its goods, services, facilities, privileges, advantages, or accommodations available through alternative methods, if those methods are readily achievable.</w:t>
      </w:r>
      <w:r w:rsidR="008316FC" w:rsidRPr="00724CF8">
        <w:rPr>
          <w:rFonts w:ascii="Avenir Book" w:hAnsi="Avenir Book"/>
          <w:sz w:val="21"/>
          <w:szCs w:val="21"/>
        </w:rPr>
        <w:t xml:space="preserve">  (28 C.F.R. § 36.305(a).)  Examples of such alternatives include: p</w:t>
      </w:r>
      <w:r w:rsidR="008F3D83" w:rsidRPr="00724CF8">
        <w:rPr>
          <w:rFonts w:ascii="Avenir Book" w:hAnsi="Avenir Book"/>
          <w:sz w:val="21"/>
          <w:szCs w:val="21"/>
        </w:rPr>
        <w:t>roviding</w:t>
      </w:r>
      <w:r w:rsidR="008316FC" w:rsidRPr="00724CF8">
        <w:rPr>
          <w:rFonts w:ascii="Avenir Book" w:hAnsi="Avenir Book"/>
          <w:sz w:val="21"/>
          <w:szCs w:val="21"/>
        </w:rPr>
        <w:t xml:space="preserve"> curb service or home delivery; retrieving </w:t>
      </w:r>
      <w:r w:rsidR="008F3D83" w:rsidRPr="00724CF8">
        <w:rPr>
          <w:rFonts w:ascii="Avenir Book" w:hAnsi="Avenir Book"/>
          <w:sz w:val="21"/>
          <w:szCs w:val="21"/>
        </w:rPr>
        <w:t>merchandise from</w:t>
      </w:r>
      <w:r w:rsidR="008316FC" w:rsidRPr="00724CF8">
        <w:rPr>
          <w:rFonts w:ascii="Avenir Book" w:hAnsi="Avenir Book"/>
          <w:sz w:val="21"/>
          <w:szCs w:val="21"/>
        </w:rPr>
        <w:t xml:space="preserve"> inaccessible shelves or racks; and relocating </w:t>
      </w:r>
      <w:r w:rsidR="008F3D83" w:rsidRPr="00724CF8">
        <w:rPr>
          <w:rFonts w:ascii="Avenir Book" w:hAnsi="Avenir Book"/>
          <w:sz w:val="21"/>
          <w:szCs w:val="21"/>
        </w:rPr>
        <w:t>act</w:t>
      </w:r>
      <w:r w:rsidR="008316FC" w:rsidRPr="00724CF8">
        <w:rPr>
          <w:rFonts w:ascii="Avenir Book" w:hAnsi="Avenir Book"/>
          <w:sz w:val="21"/>
          <w:szCs w:val="21"/>
        </w:rPr>
        <w:t>ivities to accessible locations. (28 C.F.R. § 36.305(b).)</w:t>
      </w:r>
    </w:p>
    <w:p w:rsidR="009473F9" w:rsidRPr="00724CF8" w:rsidRDefault="009473F9" w:rsidP="00BB5C21">
      <w:pPr>
        <w:pStyle w:val="ListParagraph"/>
        <w:ind w:left="0"/>
        <w:rPr>
          <w:rFonts w:ascii="Avenir Book" w:hAnsi="Avenir Book"/>
          <w:sz w:val="21"/>
          <w:szCs w:val="21"/>
        </w:rPr>
      </w:pPr>
    </w:p>
    <w:p w:rsidR="009473F9" w:rsidRPr="00724CF8" w:rsidRDefault="009473F9" w:rsidP="007C25EB">
      <w:pPr>
        <w:pStyle w:val="OutlineL3"/>
        <w:tabs>
          <w:tab w:val="clear" w:pos="2160"/>
          <w:tab w:val="num" w:pos="1800"/>
        </w:tabs>
        <w:rPr>
          <w:rFonts w:ascii="Avenir Book" w:hAnsi="Avenir Book"/>
          <w:sz w:val="21"/>
          <w:szCs w:val="21"/>
          <w:u w:val="single"/>
        </w:rPr>
      </w:pPr>
      <w:r w:rsidRPr="00724CF8">
        <w:rPr>
          <w:rFonts w:ascii="Avenir Book" w:hAnsi="Avenir Book"/>
          <w:sz w:val="21"/>
          <w:szCs w:val="21"/>
          <w:u w:val="single"/>
        </w:rPr>
        <w:t>Architectural Barriers in New Construction and Alterations</w:t>
      </w:r>
    </w:p>
    <w:p w:rsidR="009473F9" w:rsidRPr="00724CF8" w:rsidRDefault="009473F9" w:rsidP="007C25EB">
      <w:pPr>
        <w:tabs>
          <w:tab w:val="num" w:pos="1800"/>
        </w:tabs>
        <w:rPr>
          <w:rFonts w:ascii="Avenir Book" w:hAnsi="Avenir Book"/>
          <w:sz w:val="21"/>
          <w:szCs w:val="21"/>
        </w:rPr>
      </w:pPr>
      <w:r w:rsidRPr="00724CF8">
        <w:rPr>
          <w:rFonts w:ascii="Avenir Book" w:hAnsi="Avenir Book"/>
          <w:sz w:val="21"/>
          <w:szCs w:val="21"/>
        </w:rPr>
        <w:t>New construction is a facility designed and constructed for first occupancy after January 26, 1993. (28 C.F.R. § 36.401(a).) New construction must be readily accessible and usable by individuals with disabilities unless it is structurally impracticable to do so. (28 C.F.R. § 36.401(a), (c).) Structural impracticability is a hard test to meet, as it exists “only in those rare circumstances when the unique characteristics of terrain prevent the incorporation of accessibility features.” (28 C.F.R. § 36.401(c)(1).)  Even in cases of structural impracticability, public accommodations have an obligation to comply with this obligation to the extent that it is not structurally impracticable. (28 C.F.R. § 36.401(c)(2).)  For example, even if structural impracticability prevents making a public accommodation accessible to wheelchairs, accessibility must still be provided for persons with other kinds of disabilities.</w:t>
      </w:r>
    </w:p>
    <w:p w:rsidR="009473F9" w:rsidRPr="00724CF8" w:rsidRDefault="009473F9" w:rsidP="007C25EB">
      <w:pPr>
        <w:tabs>
          <w:tab w:val="num" w:pos="1800"/>
        </w:tabs>
        <w:rPr>
          <w:rFonts w:ascii="Avenir Book" w:hAnsi="Avenir Book"/>
          <w:sz w:val="21"/>
          <w:szCs w:val="21"/>
        </w:rPr>
      </w:pPr>
    </w:p>
    <w:p w:rsidR="009473F9" w:rsidRPr="00724CF8" w:rsidRDefault="009473F9" w:rsidP="007C25EB">
      <w:pPr>
        <w:tabs>
          <w:tab w:val="num" w:pos="1800"/>
        </w:tabs>
        <w:rPr>
          <w:rFonts w:ascii="Avenir Book" w:hAnsi="Avenir Book"/>
          <w:sz w:val="21"/>
          <w:szCs w:val="21"/>
        </w:rPr>
      </w:pPr>
      <w:r w:rsidRPr="00724CF8">
        <w:rPr>
          <w:rFonts w:ascii="Avenir Book" w:hAnsi="Avenir Book"/>
          <w:sz w:val="21"/>
          <w:szCs w:val="21"/>
        </w:rPr>
        <w:t>Alterations to a place of public accommodation after January 26, 1992, shall be made so as to ensure that, to the maximum extent feasible, the altered portions of the facility are readily accessible to and usable by individuals with disabilities, including individuals who use wheelchairs. (28 C.F.R. § 36.402(a).) “Maximum extent feasible” applies in cases where “the nature of an existing facility makes it virtually impossible to comply fully with applicable accessibility standards through a planned alteration.” (28 C.F.R. § 36.402(c).) In such cases, the alteration shall provide the maximum physical accessibility feasible. (Id.)</w:t>
      </w:r>
    </w:p>
    <w:p w:rsidR="00A63612" w:rsidRDefault="00A63612" w:rsidP="007C25EB">
      <w:pPr>
        <w:pStyle w:val="ListParagraph"/>
        <w:tabs>
          <w:tab w:val="num" w:pos="1800"/>
        </w:tabs>
        <w:ind w:left="-90" w:firstLine="90"/>
        <w:rPr>
          <w:rFonts w:ascii="Avenir Book" w:hAnsi="Avenir Book"/>
          <w:sz w:val="21"/>
          <w:szCs w:val="21"/>
        </w:rPr>
      </w:pPr>
    </w:p>
    <w:p w:rsidR="00093CB0" w:rsidRPr="00724CF8" w:rsidRDefault="00093CB0" w:rsidP="007C25EB">
      <w:pPr>
        <w:pStyle w:val="ListParagraph"/>
        <w:tabs>
          <w:tab w:val="num" w:pos="1800"/>
        </w:tabs>
        <w:ind w:left="-90" w:firstLine="90"/>
        <w:rPr>
          <w:rFonts w:ascii="Avenir Book" w:hAnsi="Avenir Book"/>
          <w:sz w:val="21"/>
          <w:szCs w:val="21"/>
        </w:rPr>
      </w:pPr>
    </w:p>
    <w:p w:rsidR="00A63612" w:rsidRPr="00724CF8" w:rsidRDefault="00A63612" w:rsidP="007C25EB">
      <w:pPr>
        <w:pStyle w:val="OutlineL3"/>
        <w:tabs>
          <w:tab w:val="clear" w:pos="2160"/>
          <w:tab w:val="num" w:pos="1800"/>
        </w:tabs>
        <w:rPr>
          <w:rFonts w:ascii="Avenir Book" w:hAnsi="Avenir Book"/>
          <w:sz w:val="21"/>
          <w:szCs w:val="21"/>
          <w:u w:val="single"/>
        </w:rPr>
      </w:pPr>
      <w:r w:rsidRPr="00724CF8">
        <w:rPr>
          <w:rFonts w:ascii="Avenir Book" w:hAnsi="Avenir Book"/>
          <w:sz w:val="21"/>
          <w:szCs w:val="21"/>
          <w:u w:val="single"/>
        </w:rPr>
        <w:t xml:space="preserve">Impact of </w:t>
      </w:r>
      <w:r w:rsidR="00FB6AA0" w:rsidRPr="00724CF8">
        <w:rPr>
          <w:rFonts w:ascii="Avenir Book" w:hAnsi="Avenir Book"/>
          <w:sz w:val="21"/>
          <w:szCs w:val="21"/>
          <w:u w:val="single"/>
        </w:rPr>
        <w:t xml:space="preserve">Recent </w:t>
      </w:r>
      <w:r w:rsidRPr="00724CF8">
        <w:rPr>
          <w:rFonts w:ascii="Avenir Book" w:hAnsi="Avenir Book"/>
          <w:sz w:val="21"/>
          <w:szCs w:val="21"/>
          <w:u w:val="single"/>
        </w:rPr>
        <w:t>ADA Amendments</w:t>
      </w:r>
    </w:p>
    <w:p w:rsidR="00FB6AA0" w:rsidRPr="00724CF8" w:rsidRDefault="00FB6AA0" w:rsidP="007C25EB">
      <w:pPr>
        <w:pStyle w:val="ListParagraph"/>
        <w:ind w:left="0"/>
        <w:rPr>
          <w:rFonts w:ascii="Avenir Book" w:hAnsi="Avenir Book"/>
          <w:sz w:val="21"/>
          <w:szCs w:val="21"/>
        </w:rPr>
      </w:pPr>
      <w:r w:rsidRPr="00724CF8">
        <w:rPr>
          <w:rFonts w:ascii="Avenir Book" w:hAnsi="Avenir Book"/>
          <w:sz w:val="21"/>
          <w:szCs w:val="21"/>
        </w:rPr>
        <w:t xml:space="preserve">The ADA was amended by the ADA Amendments Act of 2008 (P.L. 110-325), which became effective on January 1, 2009. </w:t>
      </w:r>
      <w:r w:rsidR="00406C36" w:rsidRPr="00724CF8">
        <w:rPr>
          <w:rFonts w:ascii="Avenir Book" w:hAnsi="Avenir Book"/>
          <w:sz w:val="21"/>
          <w:szCs w:val="21"/>
        </w:rPr>
        <w:t xml:space="preserve">The Department of Justice </w:t>
      </w:r>
      <w:r w:rsidRPr="00724CF8">
        <w:rPr>
          <w:rFonts w:ascii="Avenir Book" w:hAnsi="Avenir Book"/>
          <w:sz w:val="21"/>
          <w:szCs w:val="21"/>
        </w:rPr>
        <w:t xml:space="preserve">then </w:t>
      </w:r>
      <w:r w:rsidR="00406C36" w:rsidRPr="00724CF8">
        <w:rPr>
          <w:rFonts w:ascii="Avenir Book" w:hAnsi="Avenir Book"/>
          <w:sz w:val="21"/>
          <w:szCs w:val="21"/>
        </w:rPr>
        <w:t>published revised final regulations implementing the ADA on September 15, 2010</w:t>
      </w:r>
      <w:r w:rsidRPr="00724CF8">
        <w:rPr>
          <w:rFonts w:ascii="Avenir Book" w:hAnsi="Avenir Book"/>
          <w:sz w:val="21"/>
          <w:szCs w:val="21"/>
        </w:rPr>
        <w:t>, including amendments related to Title III</w:t>
      </w:r>
      <w:r w:rsidR="00406C36" w:rsidRPr="00724CF8">
        <w:rPr>
          <w:rFonts w:ascii="Avenir Book" w:hAnsi="Avenir Book"/>
          <w:sz w:val="21"/>
          <w:szCs w:val="21"/>
        </w:rPr>
        <w:t xml:space="preserve">. These revised regulations </w:t>
      </w:r>
      <w:r w:rsidR="004F419A" w:rsidRPr="00724CF8">
        <w:rPr>
          <w:rFonts w:ascii="Avenir Book" w:hAnsi="Avenir Book"/>
          <w:sz w:val="21"/>
          <w:szCs w:val="21"/>
        </w:rPr>
        <w:t>contain new and updated</w:t>
      </w:r>
      <w:r w:rsidR="00406C36" w:rsidRPr="00724CF8">
        <w:rPr>
          <w:rFonts w:ascii="Avenir Book" w:hAnsi="Avenir Book"/>
          <w:sz w:val="21"/>
          <w:szCs w:val="21"/>
        </w:rPr>
        <w:t xml:space="preserve"> requirements, including the 2010 Standards for Accessible Design (“2010 Standards”). </w:t>
      </w:r>
      <w:r w:rsidRPr="00724CF8">
        <w:rPr>
          <w:rFonts w:ascii="Avenir Book" w:hAnsi="Avenir Book"/>
          <w:sz w:val="21"/>
          <w:szCs w:val="21"/>
        </w:rPr>
        <w:t xml:space="preserve">All public accommodations must comply with the requirements of the 2010 ADA Standards, which include both the Title III regulations (28 C.F.R. Part 36) and the 2004 ADA Accessibility Guidelines (“2004 ADAAG”) (36 C.F.R. part 1191, appendices B and D). </w:t>
      </w:r>
    </w:p>
    <w:p w:rsidR="00FB6AA0" w:rsidRPr="00724CF8" w:rsidRDefault="00FB6AA0" w:rsidP="00FB6AA0">
      <w:pPr>
        <w:jc w:val="center"/>
        <w:rPr>
          <w:rFonts w:ascii="Avenir Book" w:hAnsi="Avenir Book"/>
          <w:sz w:val="21"/>
          <w:szCs w:val="21"/>
        </w:rPr>
      </w:pPr>
      <w:r w:rsidRPr="00724CF8">
        <w:rPr>
          <w:rFonts w:ascii="Avenir Book" w:hAnsi="Avenir Book" w:cs="Arial"/>
          <w:noProof/>
          <w:sz w:val="21"/>
          <w:szCs w:val="21"/>
        </w:rPr>
        <w:drawing>
          <wp:inline distT="0" distB="0" distL="0" distR="0">
            <wp:extent cx="4286250"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howing the 28 CFR Part 36 Subpart D plus the 2004 ADAAG equals the 2010 Standards for Accessible Design for title II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86250" cy="1473200"/>
                    </a:xfrm>
                    <a:prstGeom prst="rect">
                      <a:avLst/>
                    </a:prstGeom>
                    <a:noFill/>
                    <a:ln>
                      <a:noFill/>
                    </a:ln>
                  </pic:spPr>
                </pic:pic>
              </a:graphicData>
            </a:graphic>
          </wp:inline>
        </w:drawing>
      </w:r>
    </w:p>
    <w:p w:rsidR="00FB6AA0" w:rsidRPr="00724CF8" w:rsidRDefault="00FB6AA0" w:rsidP="00FB6AA0">
      <w:pPr>
        <w:jc w:val="center"/>
        <w:rPr>
          <w:rFonts w:ascii="Avenir Book" w:hAnsi="Avenir Book"/>
          <w:sz w:val="21"/>
          <w:szCs w:val="21"/>
        </w:rPr>
      </w:pPr>
      <w:r w:rsidRPr="00724CF8">
        <w:rPr>
          <w:rFonts w:ascii="Avenir Book" w:hAnsi="Avenir Book"/>
          <w:sz w:val="21"/>
          <w:szCs w:val="21"/>
        </w:rPr>
        <w:t>(Diagram illustrating the composition of the 2010 ADA Standards, available at http://www.ada.gov/regs2010/2010ADAStandards/2010ADAstandards.htm#pgfId-1010052.)</w:t>
      </w:r>
    </w:p>
    <w:p w:rsidR="00FB6AA0" w:rsidRPr="00724CF8" w:rsidRDefault="00FB6AA0" w:rsidP="00406C36">
      <w:pPr>
        <w:pStyle w:val="ListParagraph"/>
        <w:ind w:left="0"/>
        <w:rPr>
          <w:rFonts w:ascii="Avenir Book" w:hAnsi="Avenir Book"/>
          <w:sz w:val="21"/>
          <w:szCs w:val="21"/>
        </w:rPr>
      </w:pPr>
    </w:p>
    <w:p w:rsidR="008F3D83" w:rsidRPr="00724CF8" w:rsidRDefault="00406C36" w:rsidP="00406C36">
      <w:pPr>
        <w:pStyle w:val="ListParagraph"/>
        <w:ind w:left="0"/>
        <w:rPr>
          <w:rFonts w:ascii="Avenir Book" w:hAnsi="Avenir Book"/>
          <w:sz w:val="21"/>
          <w:szCs w:val="21"/>
        </w:rPr>
      </w:pPr>
      <w:r w:rsidRPr="00724CF8">
        <w:rPr>
          <w:rFonts w:ascii="Avenir Book" w:hAnsi="Avenir Book"/>
          <w:sz w:val="21"/>
          <w:szCs w:val="21"/>
        </w:rPr>
        <w:t xml:space="preserve">The 2010 Standards replace the 1991 Standards for Accessible Design (“1991 Standards”). </w:t>
      </w:r>
      <w:r w:rsidR="004F419A" w:rsidRPr="00724CF8">
        <w:rPr>
          <w:rFonts w:ascii="Avenir Book" w:hAnsi="Avenir Book"/>
          <w:sz w:val="21"/>
          <w:szCs w:val="21"/>
        </w:rPr>
        <w:t>The</w:t>
      </w:r>
      <w:r w:rsidR="00FB6AA0" w:rsidRPr="00724CF8">
        <w:rPr>
          <w:rFonts w:ascii="Avenir Book" w:hAnsi="Avenir Book"/>
          <w:sz w:val="21"/>
          <w:szCs w:val="21"/>
        </w:rPr>
        <w:t xml:space="preserve"> amendments</w:t>
      </w:r>
      <w:r w:rsidR="004F419A" w:rsidRPr="00724CF8">
        <w:rPr>
          <w:rFonts w:ascii="Avenir Book" w:hAnsi="Avenir Book"/>
          <w:sz w:val="21"/>
          <w:szCs w:val="21"/>
        </w:rPr>
        <w:t xml:space="preserve"> also explain </w:t>
      </w:r>
      <w:r w:rsidR="00C42E67" w:rsidRPr="00724CF8">
        <w:rPr>
          <w:rFonts w:ascii="Avenir Book" w:hAnsi="Avenir Book"/>
          <w:sz w:val="21"/>
          <w:szCs w:val="21"/>
        </w:rPr>
        <w:t>if, how,</w:t>
      </w:r>
      <w:r w:rsidR="004F419A" w:rsidRPr="00724CF8">
        <w:rPr>
          <w:rFonts w:ascii="Avenir Book" w:hAnsi="Avenir Book"/>
          <w:sz w:val="21"/>
          <w:szCs w:val="21"/>
        </w:rPr>
        <w:t xml:space="preserve"> and when compliance must occur </w:t>
      </w:r>
      <w:r w:rsidR="00C42E67" w:rsidRPr="00724CF8">
        <w:rPr>
          <w:rFonts w:ascii="Avenir Book" w:hAnsi="Avenir Book"/>
          <w:sz w:val="21"/>
          <w:szCs w:val="21"/>
        </w:rPr>
        <w:t>with respect to</w:t>
      </w:r>
      <w:r w:rsidR="004F419A" w:rsidRPr="00724CF8">
        <w:rPr>
          <w:rFonts w:ascii="Avenir Book" w:hAnsi="Avenir Book"/>
          <w:sz w:val="21"/>
          <w:szCs w:val="21"/>
        </w:rPr>
        <w:t xml:space="preserve"> the 2010 Standards, as illustrated </w:t>
      </w:r>
      <w:r w:rsidR="00FB6AA0" w:rsidRPr="00724CF8">
        <w:rPr>
          <w:rFonts w:ascii="Avenir Book" w:hAnsi="Avenir Book"/>
          <w:sz w:val="21"/>
          <w:szCs w:val="21"/>
        </w:rPr>
        <w:t>by</w:t>
      </w:r>
      <w:r w:rsidR="004F419A" w:rsidRPr="00724CF8">
        <w:rPr>
          <w:rFonts w:ascii="Avenir Book" w:hAnsi="Avenir Book"/>
          <w:sz w:val="21"/>
          <w:szCs w:val="21"/>
        </w:rPr>
        <w:t xml:space="preserve"> the chart below</w:t>
      </w:r>
      <w:r w:rsidR="00C42E67" w:rsidRPr="00724CF8">
        <w:rPr>
          <w:rFonts w:ascii="Avenir Book" w:hAnsi="Avenir Book"/>
          <w:sz w:val="21"/>
          <w:szCs w:val="21"/>
        </w:rPr>
        <w:t>.</w:t>
      </w:r>
    </w:p>
    <w:p w:rsidR="001C7267" w:rsidRPr="00724CF8" w:rsidRDefault="001C7267" w:rsidP="00F149D4">
      <w:pPr>
        <w:pStyle w:val="ListParagraph"/>
        <w:ind w:hanging="720"/>
        <w:rPr>
          <w:rFonts w:ascii="Avenir Book" w:hAnsi="Avenir Book"/>
          <w:sz w:val="21"/>
          <w:szCs w:val="21"/>
        </w:rPr>
      </w:pPr>
    </w:p>
    <w:p w:rsidR="000C16F5" w:rsidRPr="00D960F9" w:rsidRDefault="00C07C3C" w:rsidP="00C07C3C">
      <w:pPr>
        <w:jc w:val="center"/>
        <w:rPr>
          <w:rFonts w:ascii="Avenir Book" w:hAnsi="Avenir Book"/>
          <w:b/>
          <w:sz w:val="21"/>
          <w:szCs w:val="21"/>
        </w:rPr>
      </w:pPr>
      <w:r w:rsidRPr="00D960F9">
        <w:rPr>
          <w:rFonts w:ascii="Avenir Book" w:hAnsi="Avenir Book"/>
          <w:b/>
          <w:sz w:val="21"/>
          <w:szCs w:val="21"/>
        </w:rPr>
        <w:t>Compliance Dates and Applicable Standards for Barrier Removal and Safe Harbor</w:t>
      </w:r>
    </w:p>
    <w:p w:rsidR="00C07C3C" w:rsidRPr="00724CF8" w:rsidRDefault="00C07C3C" w:rsidP="00C07C3C">
      <w:pPr>
        <w:jc w:val="center"/>
        <w:rPr>
          <w:rFonts w:ascii="Avenir Book" w:hAnsi="Avenir Book"/>
          <w:sz w:val="21"/>
          <w:szCs w:val="21"/>
        </w:rPr>
      </w:pPr>
      <w:r w:rsidRPr="00724CF8">
        <w:rPr>
          <w:rFonts w:ascii="Avenir Book" w:hAnsi="Avenir Book"/>
          <w:sz w:val="21"/>
          <w:szCs w:val="21"/>
        </w:rPr>
        <w:t xml:space="preserve">(Appendix to 28 C.F.R. </w:t>
      </w:r>
      <w:r w:rsidR="00C42E67" w:rsidRPr="00724CF8">
        <w:rPr>
          <w:rFonts w:ascii="Avenir Book" w:hAnsi="Avenir Book"/>
          <w:sz w:val="21"/>
          <w:szCs w:val="21"/>
        </w:rPr>
        <w:t xml:space="preserve">§ </w:t>
      </w:r>
      <w:r w:rsidRPr="00724CF8">
        <w:rPr>
          <w:rFonts w:ascii="Avenir Book" w:hAnsi="Avenir Book"/>
          <w:sz w:val="21"/>
          <w:szCs w:val="21"/>
        </w:rPr>
        <w:t>36.304(d))</w:t>
      </w:r>
    </w:p>
    <w:p w:rsidR="00C07C3C" w:rsidRPr="00724CF8" w:rsidRDefault="00C07C3C" w:rsidP="00246FDE">
      <w:pPr>
        <w:rPr>
          <w:rFonts w:ascii="Avenir Book" w:hAnsi="Avenir Book"/>
          <w:sz w:val="21"/>
          <w:szCs w:val="21"/>
        </w:rPr>
      </w:pPr>
    </w:p>
    <w:tbl>
      <w:tblPr>
        <w:tblStyle w:val="TableGrid"/>
        <w:tblW w:w="0" w:type="auto"/>
        <w:tblLook w:val="04A0"/>
      </w:tblPr>
      <w:tblGrid>
        <w:gridCol w:w="1881"/>
        <w:gridCol w:w="4682"/>
        <w:gridCol w:w="2293"/>
      </w:tblGrid>
      <w:tr w:rsidR="00A63612" w:rsidRPr="00724CF8" w:rsidTr="00973B7C">
        <w:tc>
          <w:tcPr>
            <w:tcW w:w="1881" w:type="dxa"/>
            <w:shd w:val="clear" w:color="auto" w:fill="C2D69B" w:themeFill="accent3" w:themeFillTint="99"/>
          </w:tcPr>
          <w:p w:rsidR="00A63612" w:rsidRPr="00724CF8" w:rsidRDefault="00A63612" w:rsidP="00A63612">
            <w:pPr>
              <w:jc w:val="center"/>
              <w:rPr>
                <w:rFonts w:ascii="Avenir Book" w:hAnsi="Avenir Book"/>
                <w:sz w:val="21"/>
                <w:szCs w:val="21"/>
              </w:rPr>
            </w:pPr>
            <w:r w:rsidRPr="00724CF8">
              <w:rPr>
                <w:rFonts w:ascii="Avenir Book" w:hAnsi="Avenir Book"/>
                <w:sz w:val="21"/>
                <w:szCs w:val="21"/>
              </w:rPr>
              <w:t>Date</w:t>
            </w:r>
          </w:p>
        </w:tc>
        <w:tc>
          <w:tcPr>
            <w:tcW w:w="4682" w:type="dxa"/>
            <w:shd w:val="clear" w:color="auto" w:fill="C2D69B" w:themeFill="accent3" w:themeFillTint="99"/>
          </w:tcPr>
          <w:p w:rsidR="00A63612" w:rsidRPr="00724CF8" w:rsidRDefault="00A63612" w:rsidP="00A63612">
            <w:pPr>
              <w:jc w:val="center"/>
              <w:rPr>
                <w:rFonts w:ascii="Avenir Book" w:hAnsi="Avenir Book"/>
                <w:sz w:val="21"/>
                <w:szCs w:val="21"/>
              </w:rPr>
            </w:pPr>
            <w:r w:rsidRPr="00724CF8">
              <w:rPr>
                <w:rFonts w:ascii="Avenir Book" w:hAnsi="Avenir Book"/>
                <w:sz w:val="21"/>
                <w:szCs w:val="21"/>
              </w:rPr>
              <w:t>Requirement</w:t>
            </w:r>
          </w:p>
        </w:tc>
        <w:tc>
          <w:tcPr>
            <w:tcW w:w="2293" w:type="dxa"/>
            <w:shd w:val="clear" w:color="auto" w:fill="C2D69B" w:themeFill="accent3" w:themeFillTint="99"/>
          </w:tcPr>
          <w:p w:rsidR="00A63612" w:rsidRPr="00724CF8" w:rsidRDefault="00A63612" w:rsidP="00A63612">
            <w:pPr>
              <w:jc w:val="center"/>
              <w:rPr>
                <w:rFonts w:ascii="Avenir Book" w:hAnsi="Avenir Book"/>
                <w:sz w:val="21"/>
                <w:szCs w:val="21"/>
              </w:rPr>
            </w:pPr>
            <w:r w:rsidRPr="00724CF8">
              <w:rPr>
                <w:rFonts w:ascii="Avenir Book" w:hAnsi="Avenir Book"/>
                <w:sz w:val="21"/>
                <w:szCs w:val="21"/>
              </w:rPr>
              <w:t>Applicable Standards</w:t>
            </w:r>
          </w:p>
        </w:tc>
      </w:tr>
      <w:tr w:rsidR="00A63612" w:rsidRPr="00724CF8" w:rsidTr="00973B7C">
        <w:tc>
          <w:tcPr>
            <w:tcW w:w="1881" w:type="dxa"/>
          </w:tcPr>
          <w:p w:rsidR="00A63612" w:rsidRPr="00724CF8" w:rsidRDefault="00A63612" w:rsidP="00246FDE">
            <w:pPr>
              <w:rPr>
                <w:rFonts w:ascii="Avenir Book" w:hAnsi="Avenir Book"/>
                <w:sz w:val="21"/>
                <w:szCs w:val="21"/>
              </w:rPr>
            </w:pPr>
          </w:p>
          <w:p w:rsidR="00A63612" w:rsidRPr="00724CF8" w:rsidRDefault="00A63612" w:rsidP="00246FDE">
            <w:pPr>
              <w:rPr>
                <w:rFonts w:ascii="Avenir Book" w:hAnsi="Avenir Book"/>
                <w:sz w:val="21"/>
                <w:szCs w:val="21"/>
              </w:rPr>
            </w:pPr>
            <w:r w:rsidRPr="00724CF8">
              <w:rPr>
                <w:rFonts w:ascii="Avenir Book" w:hAnsi="Avenir Book"/>
                <w:sz w:val="21"/>
                <w:szCs w:val="21"/>
              </w:rPr>
              <w:t>Before March 15, 2012</w:t>
            </w:r>
          </w:p>
        </w:tc>
        <w:tc>
          <w:tcPr>
            <w:tcW w:w="4682" w:type="dxa"/>
          </w:tcPr>
          <w:p w:rsidR="00A63612" w:rsidRPr="00724CF8" w:rsidRDefault="00A63612" w:rsidP="00A63612">
            <w:pPr>
              <w:rPr>
                <w:rFonts w:ascii="Avenir Book" w:hAnsi="Avenir Book"/>
                <w:sz w:val="21"/>
                <w:szCs w:val="21"/>
              </w:rPr>
            </w:pPr>
          </w:p>
          <w:p w:rsidR="00A63612" w:rsidRPr="00724CF8" w:rsidRDefault="00A63612" w:rsidP="00A63612">
            <w:pPr>
              <w:rPr>
                <w:rFonts w:ascii="Avenir Book" w:hAnsi="Avenir Book"/>
                <w:sz w:val="21"/>
                <w:szCs w:val="21"/>
              </w:rPr>
            </w:pPr>
            <w:r w:rsidRPr="00724CF8">
              <w:rPr>
                <w:rFonts w:ascii="Avenir Book" w:hAnsi="Avenir Book"/>
                <w:sz w:val="21"/>
                <w:szCs w:val="21"/>
              </w:rPr>
              <w:t xml:space="preserve">Elements that do not comply with the requirements for those elements in the 1991 Standards must be modified to the extent readily achievable. </w:t>
            </w:r>
          </w:p>
          <w:p w:rsidR="00A63612" w:rsidRPr="00724CF8" w:rsidRDefault="00A63612" w:rsidP="00A63612">
            <w:pPr>
              <w:rPr>
                <w:rFonts w:ascii="Avenir Book" w:hAnsi="Avenir Book"/>
                <w:sz w:val="21"/>
                <w:szCs w:val="21"/>
              </w:rPr>
            </w:pPr>
          </w:p>
          <w:p w:rsidR="00A63612" w:rsidRPr="00724CF8" w:rsidRDefault="00A63612" w:rsidP="00A63612">
            <w:pPr>
              <w:rPr>
                <w:rFonts w:ascii="Avenir Book" w:hAnsi="Avenir Book"/>
                <w:sz w:val="21"/>
                <w:szCs w:val="21"/>
              </w:rPr>
            </w:pPr>
            <w:r w:rsidRPr="00724CF8">
              <w:rPr>
                <w:rFonts w:ascii="Avenir Book" w:hAnsi="Avenir Book"/>
                <w:sz w:val="21"/>
                <w:szCs w:val="21"/>
              </w:rPr>
              <w:t>Note: Noncomplying newly constructed and altered elements may also be subject to the requirements of § 36.406(a)(5).</w:t>
            </w:r>
          </w:p>
          <w:p w:rsidR="00A63612" w:rsidRPr="00724CF8" w:rsidRDefault="00A63612" w:rsidP="00A63612">
            <w:pPr>
              <w:rPr>
                <w:rFonts w:ascii="Avenir Book" w:hAnsi="Avenir Book"/>
                <w:sz w:val="21"/>
                <w:szCs w:val="21"/>
              </w:rPr>
            </w:pPr>
          </w:p>
        </w:tc>
        <w:tc>
          <w:tcPr>
            <w:tcW w:w="2293" w:type="dxa"/>
          </w:tcPr>
          <w:p w:rsidR="00A63612" w:rsidRPr="00724CF8" w:rsidRDefault="00A63612" w:rsidP="00246FDE">
            <w:pPr>
              <w:rPr>
                <w:rFonts w:ascii="Avenir Book" w:hAnsi="Avenir Book"/>
                <w:sz w:val="21"/>
                <w:szCs w:val="21"/>
              </w:rPr>
            </w:pPr>
          </w:p>
          <w:p w:rsidR="00A63612" w:rsidRPr="00724CF8" w:rsidRDefault="00A63612" w:rsidP="00246FDE">
            <w:pPr>
              <w:rPr>
                <w:rFonts w:ascii="Avenir Book" w:hAnsi="Avenir Book"/>
                <w:sz w:val="21"/>
                <w:szCs w:val="21"/>
              </w:rPr>
            </w:pPr>
            <w:r w:rsidRPr="00724CF8">
              <w:rPr>
                <w:rFonts w:ascii="Avenir Book" w:hAnsi="Avenir Book"/>
                <w:sz w:val="21"/>
                <w:szCs w:val="21"/>
              </w:rPr>
              <w:t>1991 Standards or 2010 Standards</w:t>
            </w:r>
          </w:p>
        </w:tc>
      </w:tr>
    </w:tbl>
    <w:p w:rsidR="00973B7C" w:rsidRDefault="00973B7C"/>
    <w:p w:rsidR="00973B7C" w:rsidRDefault="00973B7C"/>
    <w:p w:rsidR="00973B7C" w:rsidRDefault="00973B7C"/>
    <w:p w:rsidR="00973B7C" w:rsidRDefault="00973B7C"/>
    <w:tbl>
      <w:tblPr>
        <w:tblStyle w:val="TableGrid"/>
        <w:tblW w:w="0" w:type="auto"/>
        <w:tblLook w:val="04A0"/>
      </w:tblPr>
      <w:tblGrid>
        <w:gridCol w:w="1881"/>
        <w:gridCol w:w="4682"/>
        <w:gridCol w:w="2293"/>
      </w:tblGrid>
      <w:tr w:rsidR="00973B7C" w:rsidRPr="00724CF8" w:rsidTr="00973B7C">
        <w:tc>
          <w:tcPr>
            <w:tcW w:w="1881" w:type="dxa"/>
            <w:shd w:val="clear" w:color="auto" w:fill="C2D69B" w:themeFill="accent3" w:themeFillTint="99"/>
          </w:tcPr>
          <w:p w:rsidR="00973B7C" w:rsidRPr="00724CF8" w:rsidRDefault="00973B7C" w:rsidP="0095412A">
            <w:pPr>
              <w:jc w:val="center"/>
              <w:rPr>
                <w:rFonts w:ascii="Avenir Book" w:hAnsi="Avenir Book"/>
                <w:sz w:val="21"/>
                <w:szCs w:val="21"/>
              </w:rPr>
            </w:pPr>
            <w:r w:rsidRPr="00724CF8">
              <w:rPr>
                <w:rFonts w:ascii="Avenir Book" w:hAnsi="Avenir Book"/>
                <w:sz w:val="21"/>
                <w:szCs w:val="21"/>
              </w:rPr>
              <w:t>Date</w:t>
            </w:r>
          </w:p>
        </w:tc>
        <w:tc>
          <w:tcPr>
            <w:tcW w:w="4682" w:type="dxa"/>
            <w:shd w:val="clear" w:color="auto" w:fill="C2D69B" w:themeFill="accent3" w:themeFillTint="99"/>
          </w:tcPr>
          <w:p w:rsidR="00973B7C" w:rsidRPr="00724CF8" w:rsidRDefault="00973B7C" w:rsidP="0095412A">
            <w:pPr>
              <w:jc w:val="center"/>
              <w:rPr>
                <w:rFonts w:ascii="Avenir Book" w:hAnsi="Avenir Book"/>
                <w:sz w:val="21"/>
                <w:szCs w:val="21"/>
              </w:rPr>
            </w:pPr>
            <w:r w:rsidRPr="00724CF8">
              <w:rPr>
                <w:rFonts w:ascii="Avenir Book" w:hAnsi="Avenir Book"/>
                <w:sz w:val="21"/>
                <w:szCs w:val="21"/>
              </w:rPr>
              <w:t>Requirement</w:t>
            </w:r>
          </w:p>
        </w:tc>
        <w:tc>
          <w:tcPr>
            <w:tcW w:w="2293" w:type="dxa"/>
            <w:shd w:val="clear" w:color="auto" w:fill="C2D69B" w:themeFill="accent3" w:themeFillTint="99"/>
          </w:tcPr>
          <w:p w:rsidR="00973B7C" w:rsidRPr="00724CF8" w:rsidRDefault="00973B7C" w:rsidP="0095412A">
            <w:pPr>
              <w:jc w:val="center"/>
              <w:rPr>
                <w:rFonts w:ascii="Avenir Book" w:hAnsi="Avenir Book"/>
                <w:sz w:val="21"/>
                <w:szCs w:val="21"/>
              </w:rPr>
            </w:pPr>
            <w:r w:rsidRPr="00724CF8">
              <w:rPr>
                <w:rFonts w:ascii="Avenir Book" w:hAnsi="Avenir Book"/>
                <w:sz w:val="21"/>
                <w:szCs w:val="21"/>
              </w:rPr>
              <w:t>Applicable Standards</w:t>
            </w:r>
          </w:p>
        </w:tc>
      </w:tr>
      <w:tr w:rsidR="00A63612" w:rsidRPr="00724CF8" w:rsidTr="00973B7C">
        <w:tc>
          <w:tcPr>
            <w:tcW w:w="1881" w:type="dxa"/>
          </w:tcPr>
          <w:p w:rsidR="00A63612" w:rsidRPr="00973B7C" w:rsidRDefault="00A63612" w:rsidP="00246FDE">
            <w:pPr>
              <w:rPr>
                <w:rFonts w:ascii="Avenir Book" w:hAnsi="Avenir Book"/>
                <w:sz w:val="6"/>
                <w:szCs w:val="6"/>
              </w:rPr>
            </w:pPr>
          </w:p>
          <w:p w:rsidR="00A63612" w:rsidRPr="00724CF8" w:rsidRDefault="00A63612" w:rsidP="00246FDE">
            <w:pPr>
              <w:rPr>
                <w:rFonts w:ascii="Avenir Book" w:hAnsi="Avenir Book"/>
                <w:sz w:val="21"/>
                <w:szCs w:val="21"/>
              </w:rPr>
            </w:pPr>
            <w:r w:rsidRPr="00724CF8">
              <w:rPr>
                <w:rFonts w:ascii="Avenir Book" w:hAnsi="Avenir Book"/>
                <w:sz w:val="21"/>
                <w:szCs w:val="21"/>
              </w:rPr>
              <w:t>On or after March 15, 2012</w:t>
            </w:r>
          </w:p>
        </w:tc>
        <w:tc>
          <w:tcPr>
            <w:tcW w:w="4682" w:type="dxa"/>
          </w:tcPr>
          <w:p w:rsidR="00A63612" w:rsidRPr="00973B7C" w:rsidRDefault="00A63612" w:rsidP="00A63612">
            <w:pPr>
              <w:rPr>
                <w:rFonts w:ascii="Avenir Book" w:hAnsi="Avenir Book"/>
                <w:sz w:val="6"/>
                <w:szCs w:val="6"/>
              </w:rPr>
            </w:pPr>
          </w:p>
          <w:p w:rsidR="00A63612" w:rsidRPr="00724CF8" w:rsidRDefault="00A63612" w:rsidP="00A63612">
            <w:pPr>
              <w:rPr>
                <w:rFonts w:ascii="Avenir Book" w:hAnsi="Avenir Book"/>
                <w:sz w:val="21"/>
                <w:szCs w:val="21"/>
              </w:rPr>
            </w:pPr>
            <w:r w:rsidRPr="00724CF8">
              <w:rPr>
                <w:rFonts w:ascii="Avenir Book" w:hAnsi="Avenir Book"/>
                <w:sz w:val="21"/>
                <w:szCs w:val="21"/>
              </w:rPr>
              <w:t xml:space="preserve">Elements that do not comply with the requirements for those elements in the 1991 Standards or that do not comply with the supplemental requirements (i.e., elements for which there are neither technical nor scoping specifications in the 1991 Standards) must be modified to the extent readily achievable. </w:t>
            </w:r>
          </w:p>
          <w:p w:rsidR="00A63612" w:rsidRPr="00724CF8" w:rsidRDefault="00A63612" w:rsidP="00A63612">
            <w:pPr>
              <w:rPr>
                <w:rFonts w:ascii="Avenir Book" w:hAnsi="Avenir Book"/>
                <w:sz w:val="21"/>
                <w:szCs w:val="21"/>
              </w:rPr>
            </w:pPr>
          </w:p>
          <w:p w:rsidR="00A63612" w:rsidRPr="00724CF8" w:rsidRDefault="00A63612" w:rsidP="00A63612">
            <w:pPr>
              <w:rPr>
                <w:rFonts w:ascii="Avenir Book" w:hAnsi="Avenir Book"/>
                <w:sz w:val="21"/>
                <w:szCs w:val="21"/>
              </w:rPr>
            </w:pPr>
            <w:r w:rsidRPr="00724CF8">
              <w:rPr>
                <w:rFonts w:ascii="Avenir Book" w:hAnsi="Avenir Book"/>
                <w:sz w:val="21"/>
                <w:szCs w:val="21"/>
              </w:rPr>
              <w:t>Note: Noncomplying newly constructed and altered elements may also be subject to the requirements of § 36.406(a)(5).</w:t>
            </w:r>
          </w:p>
        </w:tc>
        <w:tc>
          <w:tcPr>
            <w:tcW w:w="2293" w:type="dxa"/>
          </w:tcPr>
          <w:p w:rsidR="00A63612" w:rsidRPr="00973B7C" w:rsidRDefault="00A63612" w:rsidP="00246FDE">
            <w:pPr>
              <w:rPr>
                <w:rFonts w:ascii="Avenir Book" w:hAnsi="Avenir Book"/>
                <w:sz w:val="6"/>
                <w:szCs w:val="6"/>
              </w:rPr>
            </w:pPr>
          </w:p>
          <w:p w:rsidR="00A63612" w:rsidRPr="00724CF8" w:rsidRDefault="00A63612" w:rsidP="00246FDE">
            <w:pPr>
              <w:rPr>
                <w:rFonts w:ascii="Avenir Book" w:hAnsi="Avenir Book"/>
                <w:sz w:val="21"/>
                <w:szCs w:val="21"/>
              </w:rPr>
            </w:pPr>
            <w:r w:rsidRPr="00724CF8">
              <w:rPr>
                <w:rFonts w:ascii="Avenir Book" w:hAnsi="Avenir Book"/>
                <w:sz w:val="21"/>
                <w:szCs w:val="21"/>
              </w:rPr>
              <w:t>2010 Standards</w:t>
            </w:r>
          </w:p>
        </w:tc>
      </w:tr>
      <w:tr w:rsidR="00A63612" w:rsidRPr="00724CF8" w:rsidTr="00973B7C">
        <w:trPr>
          <w:trHeight w:val="1124"/>
        </w:trPr>
        <w:tc>
          <w:tcPr>
            <w:tcW w:w="1881" w:type="dxa"/>
          </w:tcPr>
          <w:p w:rsidR="00A63612" w:rsidRPr="00973B7C" w:rsidRDefault="00A63612" w:rsidP="00246FDE">
            <w:pPr>
              <w:rPr>
                <w:rFonts w:ascii="Avenir Book" w:hAnsi="Avenir Book"/>
                <w:sz w:val="6"/>
                <w:szCs w:val="6"/>
              </w:rPr>
            </w:pPr>
          </w:p>
          <w:p w:rsidR="00A63612" w:rsidRPr="00724CF8" w:rsidRDefault="00A63612" w:rsidP="00246FDE">
            <w:pPr>
              <w:rPr>
                <w:rFonts w:ascii="Avenir Book" w:hAnsi="Avenir Book"/>
                <w:sz w:val="21"/>
                <w:szCs w:val="21"/>
              </w:rPr>
            </w:pPr>
            <w:r w:rsidRPr="00724CF8">
              <w:rPr>
                <w:rFonts w:ascii="Avenir Book" w:hAnsi="Avenir Book"/>
                <w:sz w:val="21"/>
                <w:szCs w:val="21"/>
              </w:rPr>
              <w:t>Elements not altered after March 15, 2012</w:t>
            </w:r>
          </w:p>
        </w:tc>
        <w:tc>
          <w:tcPr>
            <w:tcW w:w="4682" w:type="dxa"/>
          </w:tcPr>
          <w:p w:rsidR="00A63612" w:rsidRPr="00973B7C" w:rsidRDefault="00A63612" w:rsidP="00246FDE">
            <w:pPr>
              <w:rPr>
                <w:rFonts w:ascii="Avenir Book" w:hAnsi="Avenir Book"/>
                <w:sz w:val="6"/>
                <w:szCs w:val="6"/>
              </w:rPr>
            </w:pPr>
          </w:p>
          <w:p w:rsidR="00A63612" w:rsidRPr="00724CF8" w:rsidRDefault="00A63612" w:rsidP="00246FDE">
            <w:pPr>
              <w:rPr>
                <w:rFonts w:ascii="Avenir Book" w:hAnsi="Avenir Book"/>
                <w:sz w:val="21"/>
                <w:szCs w:val="21"/>
              </w:rPr>
            </w:pPr>
            <w:r w:rsidRPr="00724CF8">
              <w:rPr>
                <w:rFonts w:ascii="Avenir Book" w:hAnsi="Avenir Book"/>
                <w:sz w:val="21"/>
                <w:szCs w:val="21"/>
              </w:rPr>
              <w:t>Elements that comply with the requirements for those elements in the 1991 Standards do not need to be modified.</w:t>
            </w:r>
          </w:p>
        </w:tc>
        <w:tc>
          <w:tcPr>
            <w:tcW w:w="2293" w:type="dxa"/>
          </w:tcPr>
          <w:p w:rsidR="00A63612" w:rsidRPr="00973B7C" w:rsidRDefault="00A63612" w:rsidP="00246FDE">
            <w:pPr>
              <w:rPr>
                <w:rFonts w:ascii="Avenir Book" w:hAnsi="Avenir Book"/>
                <w:sz w:val="6"/>
                <w:szCs w:val="6"/>
              </w:rPr>
            </w:pPr>
          </w:p>
          <w:p w:rsidR="00A63612" w:rsidRPr="00724CF8" w:rsidRDefault="00A63612" w:rsidP="00246FDE">
            <w:pPr>
              <w:rPr>
                <w:rFonts w:ascii="Avenir Book" w:hAnsi="Avenir Book"/>
                <w:sz w:val="21"/>
                <w:szCs w:val="21"/>
              </w:rPr>
            </w:pPr>
            <w:r w:rsidRPr="00724CF8">
              <w:rPr>
                <w:rFonts w:ascii="Avenir Book" w:hAnsi="Avenir Book"/>
                <w:sz w:val="21"/>
                <w:szCs w:val="21"/>
              </w:rPr>
              <w:t>Safe Harbor</w:t>
            </w:r>
            <w:r w:rsidRPr="00724CF8">
              <w:rPr>
                <w:rStyle w:val="FootnoteReference"/>
                <w:rFonts w:ascii="Avenir Book" w:hAnsi="Avenir Book"/>
                <w:sz w:val="21"/>
                <w:szCs w:val="21"/>
              </w:rPr>
              <w:footnoteReference w:id="3"/>
            </w:r>
          </w:p>
        </w:tc>
      </w:tr>
    </w:tbl>
    <w:p w:rsidR="00167C38" w:rsidRPr="00724CF8" w:rsidRDefault="00167C38" w:rsidP="00246FDE">
      <w:pPr>
        <w:rPr>
          <w:rFonts w:ascii="Avenir Book" w:hAnsi="Avenir Book"/>
          <w:sz w:val="21"/>
          <w:szCs w:val="21"/>
        </w:rPr>
      </w:pPr>
    </w:p>
    <w:p w:rsidR="00DB07D2" w:rsidRPr="00D960F9" w:rsidRDefault="00167C38"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State Laws Impacting Disability Access and Disability Discrimination</w:t>
      </w:r>
    </w:p>
    <w:p w:rsidR="00313B58" w:rsidRPr="00724CF8" w:rsidRDefault="00313B58" w:rsidP="00DB07D2">
      <w:pPr>
        <w:pStyle w:val="BodyText"/>
        <w:rPr>
          <w:rFonts w:ascii="Avenir Book" w:hAnsi="Avenir Book"/>
          <w:sz w:val="21"/>
          <w:szCs w:val="21"/>
        </w:rPr>
      </w:pPr>
      <w:r w:rsidRPr="00724CF8">
        <w:rPr>
          <w:rFonts w:ascii="Avenir Book" w:hAnsi="Avenir Book"/>
          <w:sz w:val="21"/>
          <w:szCs w:val="21"/>
        </w:rPr>
        <w:t xml:space="preserve">The State of California has also enacted various laws related to the prevention of disability discrimination. </w:t>
      </w:r>
      <w:r w:rsidR="000B7616" w:rsidRPr="00724CF8">
        <w:rPr>
          <w:rFonts w:ascii="Avenir Book" w:hAnsi="Avenir Book"/>
          <w:sz w:val="21"/>
          <w:szCs w:val="21"/>
        </w:rPr>
        <w:t xml:space="preserve"> </w:t>
      </w:r>
      <w:r w:rsidR="00210369" w:rsidRPr="00724CF8">
        <w:rPr>
          <w:rFonts w:ascii="Avenir Book" w:hAnsi="Avenir Book"/>
          <w:sz w:val="21"/>
          <w:szCs w:val="21"/>
        </w:rPr>
        <w:t xml:space="preserve">Laws of particular relevance </w:t>
      </w:r>
      <w:r w:rsidR="00DB07D2" w:rsidRPr="00724CF8">
        <w:rPr>
          <w:rFonts w:ascii="Avenir Book" w:hAnsi="Avenir Book"/>
          <w:sz w:val="21"/>
          <w:szCs w:val="21"/>
        </w:rPr>
        <w:t>to this Toolkit include</w:t>
      </w:r>
      <w:r w:rsidRPr="00724CF8">
        <w:rPr>
          <w:rFonts w:ascii="Avenir Book" w:hAnsi="Avenir Book"/>
          <w:sz w:val="21"/>
          <w:szCs w:val="21"/>
        </w:rPr>
        <w:t>:</w:t>
      </w:r>
    </w:p>
    <w:p w:rsidR="00313B58" w:rsidRPr="00724CF8" w:rsidRDefault="00313B58" w:rsidP="00196620">
      <w:pPr>
        <w:pStyle w:val="OutlineL3"/>
        <w:tabs>
          <w:tab w:val="clear" w:pos="2160"/>
          <w:tab w:val="num" w:pos="1710"/>
        </w:tabs>
        <w:ind w:firstLine="1260"/>
        <w:rPr>
          <w:rFonts w:ascii="Avenir Book" w:hAnsi="Avenir Book"/>
          <w:sz w:val="21"/>
          <w:szCs w:val="21"/>
          <w:u w:val="single"/>
        </w:rPr>
      </w:pPr>
      <w:r w:rsidRPr="00724CF8">
        <w:rPr>
          <w:rFonts w:ascii="Avenir Book" w:hAnsi="Avenir Book"/>
          <w:sz w:val="21"/>
          <w:szCs w:val="21"/>
          <w:u w:val="single"/>
        </w:rPr>
        <w:t xml:space="preserve">The Unruh Civil Rights Act, Cal. Civ. Code § 51, et seq. (the “Unruh Act”). </w:t>
      </w:r>
    </w:p>
    <w:p w:rsidR="00313B58" w:rsidRPr="00724CF8" w:rsidRDefault="00313B58" w:rsidP="007C25EB">
      <w:pPr>
        <w:pStyle w:val="BodyText"/>
        <w:tabs>
          <w:tab w:val="num" w:pos="1800"/>
        </w:tabs>
        <w:rPr>
          <w:rFonts w:ascii="Avenir Book" w:hAnsi="Avenir Book"/>
          <w:sz w:val="21"/>
          <w:szCs w:val="21"/>
        </w:rPr>
      </w:pPr>
      <w:r w:rsidRPr="00724CF8">
        <w:rPr>
          <w:rFonts w:ascii="Avenir Book" w:hAnsi="Avenir Book"/>
          <w:sz w:val="21"/>
          <w:szCs w:val="21"/>
        </w:rPr>
        <w:t xml:space="preserve">The Unruh Act protects persons from discrimination by all business establishments in California, </w:t>
      </w:r>
      <w:r w:rsidR="000B7616" w:rsidRPr="00724CF8">
        <w:rPr>
          <w:rFonts w:ascii="Avenir Book" w:hAnsi="Avenir Book"/>
          <w:sz w:val="21"/>
          <w:szCs w:val="21"/>
        </w:rPr>
        <w:t>including public accommodations.</w:t>
      </w:r>
      <w:r w:rsidRPr="00724CF8">
        <w:rPr>
          <w:rFonts w:ascii="Avenir Book" w:hAnsi="Avenir Book"/>
          <w:sz w:val="21"/>
          <w:szCs w:val="21"/>
        </w:rPr>
        <w:t xml:space="preserve"> </w:t>
      </w:r>
      <w:r w:rsidR="000B7616" w:rsidRPr="00724CF8">
        <w:rPr>
          <w:rFonts w:ascii="Avenir Book" w:hAnsi="Avenir Book"/>
          <w:sz w:val="21"/>
          <w:szCs w:val="21"/>
        </w:rPr>
        <w:t xml:space="preserve">(Cal. Civ. Code § 51(b).)  </w:t>
      </w:r>
      <w:r w:rsidRPr="00724CF8">
        <w:rPr>
          <w:rFonts w:ascii="Avenir Book" w:hAnsi="Avenir Book"/>
          <w:sz w:val="21"/>
          <w:szCs w:val="21"/>
        </w:rPr>
        <w:t>The Unruh Act confirms that it does not impose an alteration obligation beyond that provided in other laws (such as the ADA):</w:t>
      </w:r>
    </w:p>
    <w:p w:rsidR="00313B58" w:rsidRPr="00724CF8" w:rsidRDefault="00313B58" w:rsidP="007C25EB">
      <w:pPr>
        <w:pStyle w:val="ListParagraph"/>
        <w:tabs>
          <w:tab w:val="num" w:pos="1800"/>
        </w:tabs>
        <w:ind w:left="1080"/>
        <w:rPr>
          <w:rFonts w:ascii="Avenir Book" w:hAnsi="Avenir Book"/>
          <w:sz w:val="21"/>
          <w:szCs w:val="21"/>
        </w:rPr>
      </w:pPr>
      <w:r w:rsidRPr="00724CF8">
        <w:rPr>
          <w:rFonts w:ascii="Avenir Book" w:hAnsi="Avenir Book"/>
          <w:sz w:val="21"/>
          <w:szCs w:val="21"/>
        </w:rPr>
        <w:t>“Nothing in this section shall be construed to require any construction, alteration, repair, structural or otherwise, or modification of any sort whatsoever, beyond that construction, alteration, repair, or modification that is otherwise required by other provisions of law, to any new or existing establishment, facility, building, improvement, or any other structure, nor shall anything in this section be construed to augment, restrict, or alter in any way the authority of the State Architect to require construction, alteration, repair, or modifications that the State Architect otherwise possesses pursuant to other laws.” (Cal. Civ. Code § 51(d).)</w:t>
      </w:r>
    </w:p>
    <w:p w:rsidR="00313B58" w:rsidRPr="00724CF8" w:rsidRDefault="00313B58" w:rsidP="007C25EB">
      <w:pPr>
        <w:pStyle w:val="ListParagraph"/>
        <w:tabs>
          <w:tab w:val="num" w:pos="1800"/>
        </w:tabs>
        <w:ind w:left="1080"/>
        <w:rPr>
          <w:rFonts w:ascii="Avenir Book" w:hAnsi="Avenir Book"/>
          <w:sz w:val="21"/>
          <w:szCs w:val="21"/>
        </w:rPr>
      </w:pPr>
    </w:p>
    <w:p w:rsidR="00313B58" w:rsidRPr="00724CF8" w:rsidRDefault="00313B58" w:rsidP="007C25EB">
      <w:pPr>
        <w:pStyle w:val="BodyText"/>
        <w:tabs>
          <w:tab w:val="num" w:pos="1800"/>
        </w:tabs>
        <w:rPr>
          <w:rFonts w:ascii="Avenir Book" w:hAnsi="Avenir Book"/>
          <w:sz w:val="21"/>
          <w:szCs w:val="21"/>
        </w:rPr>
      </w:pPr>
      <w:r w:rsidRPr="00724CF8">
        <w:rPr>
          <w:rFonts w:ascii="Avenir Book" w:hAnsi="Avenir Book"/>
          <w:sz w:val="21"/>
          <w:szCs w:val="21"/>
        </w:rPr>
        <w:t>The Unruh Act also confirms that a violation of the right of any individual under the ADA shall also constitute a violation of the Unruh Act. (Cal. Civ. Code § 51(d).)</w:t>
      </w:r>
    </w:p>
    <w:p w:rsidR="00313B58" w:rsidRPr="00724CF8" w:rsidRDefault="00313B58" w:rsidP="007C25EB">
      <w:pPr>
        <w:pStyle w:val="OutlineL3"/>
        <w:tabs>
          <w:tab w:val="clear" w:pos="2160"/>
          <w:tab w:val="num" w:pos="1800"/>
        </w:tabs>
        <w:rPr>
          <w:rFonts w:ascii="Avenir Book" w:hAnsi="Avenir Book"/>
          <w:sz w:val="21"/>
          <w:szCs w:val="21"/>
        </w:rPr>
      </w:pPr>
      <w:r w:rsidRPr="00724CF8">
        <w:rPr>
          <w:rFonts w:ascii="Avenir Book" w:hAnsi="Avenir Book"/>
          <w:sz w:val="21"/>
          <w:szCs w:val="21"/>
          <w:u w:val="single"/>
        </w:rPr>
        <w:t>The California Disabled Persons Act, Cal Civ. Code § 54.1, et seq. (the</w:t>
      </w:r>
      <w:r w:rsidRPr="00724CF8">
        <w:rPr>
          <w:rFonts w:ascii="Avenir Book" w:hAnsi="Avenir Book"/>
          <w:sz w:val="21"/>
          <w:szCs w:val="21"/>
        </w:rPr>
        <w:t xml:space="preserve"> </w:t>
      </w:r>
      <w:r w:rsidR="000B7616" w:rsidRPr="00724CF8">
        <w:rPr>
          <w:rFonts w:ascii="Avenir Book" w:hAnsi="Avenir Book"/>
          <w:sz w:val="21"/>
          <w:szCs w:val="21"/>
        </w:rPr>
        <w:tab/>
      </w:r>
      <w:r w:rsidRPr="00724CF8">
        <w:rPr>
          <w:rFonts w:ascii="Avenir Book" w:hAnsi="Avenir Book"/>
          <w:sz w:val="21"/>
          <w:szCs w:val="21"/>
          <w:u w:val="single"/>
        </w:rPr>
        <w:t>“CDPA”).</w:t>
      </w:r>
    </w:p>
    <w:p w:rsidR="00313B58" w:rsidRPr="00724CF8" w:rsidRDefault="00313B58" w:rsidP="00235605">
      <w:pPr>
        <w:pStyle w:val="BodyText"/>
        <w:rPr>
          <w:rFonts w:ascii="Avenir Book" w:hAnsi="Avenir Book"/>
          <w:sz w:val="21"/>
          <w:szCs w:val="21"/>
        </w:rPr>
      </w:pPr>
      <w:r w:rsidRPr="00724CF8">
        <w:rPr>
          <w:rFonts w:ascii="Avenir Book" w:hAnsi="Avenir Book"/>
          <w:sz w:val="21"/>
          <w:szCs w:val="21"/>
        </w:rPr>
        <w:t xml:space="preserve">The CDPA </w:t>
      </w:r>
      <w:r w:rsidR="00210369" w:rsidRPr="00724CF8">
        <w:rPr>
          <w:rFonts w:ascii="Avenir Book" w:hAnsi="Avenir Book"/>
          <w:sz w:val="21"/>
          <w:szCs w:val="21"/>
        </w:rPr>
        <w:t>provides</w:t>
      </w:r>
      <w:r w:rsidR="00DB07D2" w:rsidRPr="00724CF8">
        <w:rPr>
          <w:rFonts w:ascii="Avenir Book" w:hAnsi="Avenir Book"/>
          <w:sz w:val="21"/>
          <w:szCs w:val="21"/>
        </w:rPr>
        <w:t>, in relevant part,</w:t>
      </w:r>
      <w:r w:rsidR="00210369" w:rsidRPr="00724CF8">
        <w:rPr>
          <w:rFonts w:ascii="Avenir Book" w:hAnsi="Avenir Book"/>
          <w:sz w:val="21"/>
          <w:szCs w:val="21"/>
        </w:rPr>
        <w:t xml:space="preserve"> that </w:t>
      </w:r>
      <w:r w:rsidR="00DB07D2" w:rsidRPr="00724CF8">
        <w:rPr>
          <w:rFonts w:ascii="Avenir Book" w:hAnsi="Avenir Book"/>
          <w:sz w:val="21"/>
          <w:szCs w:val="21"/>
        </w:rPr>
        <w:t>i</w:t>
      </w:r>
      <w:r w:rsidR="00210369" w:rsidRPr="00724CF8">
        <w:rPr>
          <w:rFonts w:ascii="Avenir Book" w:hAnsi="Avenir Book"/>
          <w:sz w:val="21"/>
          <w:szCs w:val="21"/>
        </w:rPr>
        <w:t>ndividuals with disabilities shall be entitled to full and equal access, as other members of the general public, to accommodations, advantages, facilities, medical facilities</w:t>
      </w:r>
      <w:r w:rsidR="00DB07D2" w:rsidRPr="00724CF8">
        <w:rPr>
          <w:rFonts w:ascii="Avenir Book" w:hAnsi="Avenir Book"/>
          <w:sz w:val="21"/>
          <w:szCs w:val="21"/>
        </w:rPr>
        <w:t xml:space="preserve">. (Cal. Civ. Code § 54.1(a)(1).)  This includes </w:t>
      </w:r>
      <w:r w:rsidR="00210369" w:rsidRPr="00724CF8">
        <w:rPr>
          <w:rFonts w:ascii="Avenir Book" w:hAnsi="Avenir Book"/>
          <w:sz w:val="21"/>
          <w:szCs w:val="21"/>
        </w:rPr>
        <w:t>hos</w:t>
      </w:r>
      <w:r w:rsidR="00DB07D2" w:rsidRPr="00724CF8">
        <w:rPr>
          <w:rFonts w:ascii="Avenir Book" w:hAnsi="Avenir Book"/>
          <w:sz w:val="21"/>
          <w:szCs w:val="21"/>
        </w:rPr>
        <w:t>pitals, clinics, and physicians’</w:t>
      </w:r>
      <w:r w:rsidR="00210369" w:rsidRPr="00724CF8">
        <w:rPr>
          <w:rFonts w:ascii="Avenir Book" w:hAnsi="Avenir Book"/>
          <w:sz w:val="21"/>
          <w:szCs w:val="21"/>
        </w:rPr>
        <w:t xml:space="preserve"> offices, and privileges of all common carriers, airplanes, motor vehicles, railroad trains, motorbuses, streetcars, boats, or any other public conveyances or modes of transportation (whether private, public, franchised, licensed, contracted, or otherwise provided), telephone facilities, adoption agencies, private schools, hotels, lodging places, places of public accommodation, amusement, or resort, and other places to</w:t>
      </w:r>
      <w:r w:rsidR="00DB07D2" w:rsidRPr="00724CF8">
        <w:rPr>
          <w:rFonts w:ascii="Avenir Book" w:hAnsi="Avenir Book"/>
          <w:sz w:val="21"/>
          <w:szCs w:val="21"/>
        </w:rPr>
        <w:t xml:space="preserve"> which the general public is invited, subject only to the conditions and limitations established by law, or state or federal regulation, and applicable alike to all persons. (Id.)</w:t>
      </w:r>
    </w:p>
    <w:p w:rsidR="00313B58" w:rsidRPr="00724CF8" w:rsidRDefault="00313B58" w:rsidP="00235605">
      <w:pPr>
        <w:pStyle w:val="OutlineL3"/>
        <w:tabs>
          <w:tab w:val="clear" w:pos="2160"/>
          <w:tab w:val="num" w:pos="1800"/>
        </w:tabs>
        <w:rPr>
          <w:rFonts w:ascii="Avenir Book" w:hAnsi="Avenir Book"/>
          <w:sz w:val="21"/>
          <w:szCs w:val="21"/>
        </w:rPr>
      </w:pPr>
      <w:r w:rsidRPr="00724CF8">
        <w:rPr>
          <w:rFonts w:ascii="Avenir Book" w:hAnsi="Avenir Book"/>
          <w:sz w:val="21"/>
          <w:szCs w:val="21"/>
          <w:u w:val="single"/>
        </w:rPr>
        <w:t>Health and Safety Code § 19955, et seq</w:t>
      </w:r>
      <w:r w:rsidRPr="00724CF8">
        <w:rPr>
          <w:rFonts w:ascii="Avenir Book" w:hAnsi="Avenir Book"/>
          <w:sz w:val="21"/>
          <w:szCs w:val="21"/>
        </w:rPr>
        <w:t>.</w:t>
      </w:r>
    </w:p>
    <w:p w:rsidR="00167C38" w:rsidRPr="00724CF8" w:rsidRDefault="00DB07D2" w:rsidP="00235605">
      <w:pPr>
        <w:pStyle w:val="BodyText"/>
        <w:tabs>
          <w:tab w:val="num" w:pos="1800"/>
        </w:tabs>
        <w:rPr>
          <w:rFonts w:ascii="Avenir Book" w:hAnsi="Avenir Book"/>
          <w:sz w:val="21"/>
          <w:szCs w:val="21"/>
        </w:rPr>
      </w:pPr>
      <w:r w:rsidRPr="00724CF8">
        <w:rPr>
          <w:rFonts w:ascii="Avenir Book" w:hAnsi="Avenir Book"/>
          <w:sz w:val="21"/>
          <w:szCs w:val="21"/>
        </w:rPr>
        <w:t xml:space="preserve">These </w:t>
      </w:r>
      <w:r w:rsidR="00FF5D0B" w:rsidRPr="00724CF8">
        <w:rPr>
          <w:rFonts w:ascii="Avenir Book" w:hAnsi="Avenir Book"/>
          <w:sz w:val="21"/>
          <w:szCs w:val="21"/>
        </w:rPr>
        <w:t>statutes</w:t>
      </w:r>
      <w:r w:rsidRPr="00724CF8">
        <w:rPr>
          <w:rFonts w:ascii="Avenir Book" w:hAnsi="Avenir Book"/>
          <w:sz w:val="21"/>
          <w:szCs w:val="21"/>
        </w:rPr>
        <w:t xml:space="preserve"> </w:t>
      </w:r>
      <w:r w:rsidR="00CC3F96" w:rsidRPr="00724CF8">
        <w:rPr>
          <w:rFonts w:ascii="Avenir Book" w:hAnsi="Avenir Book"/>
          <w:sz w:val="21"/>
          <w:szCs w:val="21"/>
        </w:rPr>
        <w:t>obligate</w:t>
      </w:r>
      <w:r w:rsidRPr="00724CF8">
        <w:rPr>
          <w:rFonts w:ascii="Avenir Book" w:hAnsi="Avenir Book"/>
          <w:sz w:val="21"/>
          <w:szCs w:val="21"/>
        </w:rPr>
        <w:t xml:space="preserve"> </w:t>
      </w:r>
      <w:r w:rsidR="00CC3F96" w:rsidRPr="00724CF8">
        <w:rPr>
          <w:rFonts w:ascii="Avenir Book" w:hAnsi="Avenir Book"/>
          <w:sz w:val="21"/>
          <w:szCs w:val="21"/>
        </w:rPr>
        <w:t xml:space="preserve">public accommodations and </w:t>
      </w:r>
      <w:r w:rsidRPr="00724CF8">
        <w:rPr>
          <w:rFonts w:ascii="Avenir Book" w:hAnsi="Avenir Book"/>
          <w:sz w:val="21"/>
          <w:szCs w:val="21"/>
        </w:rPr>
        <w:t xml:space="preserve">facilities </w:t>
      </w:r>
      <w:r w:rsidR="00FF5D0B" w:rsidRPr="00724CF8">
        <w:rPr>
          <w:rFonts w:ascii="Avenir Book" w:hAnsi="Avenir Book"/>
          <w:sz w:val="21"/>
          <w:szCs w:val="21"/>
        </w:rPr>
        <w:t xml:space="preserve">that are </w:t>
      </w:r>
      <w:r w:rsidRPr="00724CF8">
        <w:rPr>
          <w:rFonts w:ascii="Avenir Book" w:hAnsi="Avenir Book"/>
          <w:sz w:val="21"/>
          <w:szCs w:val="21"/>
        </w:rPr>
        <w:t xml:space="preserve">constructed with </w:t>
      </w:r>
      <w:r w:rsidR="00CC3F96" w:rsidRPr="00724CF8">
        <w:rPr>
          <w:rFonts w:ascii="Avenir Book" w:hAnsi="Avenir Book"/>
          <w:sz w:val="21"/>
          <w:szCs w:val="21"/>
        </w:rPr>
        <w:t>private</w:t>
      </w:r>
      <w:r w:rsidRPr="00724CF8">
        <w:rPr>
          <w:rFonts w:ascii="Avenir Book" w:hAnsi="Avenir Book"/>
          <w:sz w:val="21"/>
          <w:szCs w:val="21"/>
        </w:rPr>
        <w:t xml:space="preserve"> funds </w:t>
      </w:r>
      <w:r w:rsidR="00CC3F96" w:rsidRPr="00724CF8">
        <w:rPr>
          <w:rFonts w:ascii="Avenir Book" w:hAnsi="Avenir Book"/>
          <w:sz w:val="21"/>
          <w:szCs w:val="21"/>
        </w:rPr>
        <w:t>to comply with the requirements imposed by Government Code section 4450, et seq., which are nondiscrimination statutes triggered by the receipt of state funding or use of state funds for construction. (Cal. Health &amp; Safety Code § 19955(a).)</w:t>
      </w:r>
    </w:p>
    <w:p w:rsidR="00BB3D39" w:rsidRPr="00724CF8" w:rsidRDefault="00BB3D39" w:rsidP="00235605">
      <w:pPr>
        <w:pStyle w:val="OutlineL3"/>
        <w:tabs>
          <w:tab w:val="clear" w:pos="2160"/>
          <w:tab w:val="num" w:pos="1800"/>
        </w:tabs>
        <w:rPr>
          <w:rFonts w:ascii="Avenir Book" w:hAnsi="Avenir Book"/>
          <w:sz w:val="21"/>
          <w:szCs w:val="21"/>
          <w:u w:val="single"/>
        </w:rPr>
      </w:pPr>
      <w:r w:rsidRPr="00724CF8">
        <w:rPr>
          <w:rFonts w:ascii="Avenir Book" w:hAnsi="Avenir Book"/>
          <w:sz w:val="21"/>
          <w:szCs w:val="21"/>
          <w:u w:val="single"/>
        </w:rPr>
        <w:t>The California Building Code</w:t>
      </w:r>
    </w:p>
    <w:p w:rsidR="00BB3D39" w:rsidRPr="00724CF8" w:rsidRDefault="00BB3D39" w:rsidP="00235605">
      <w:pPr>
        <w:pStyle w:val="BodyText"/>
        <w:tabs>
          <w:tab w:val="num" w:pos="1800"/>
        </w:tabs>
        <w:rPr>
          <w:rFonts w:ascii="Avenir Book" w:hAnsi="Avenir Book"/>
          <w:sz w:val="21"/>
          <w:szCs w:val="21"/>
        </w:rPr>
      </w:pPr>
      <w:r w:rsidRPr="00724CF8">
        <w:rPr>
          <w:rFonts w:ascii="Avenir Book" w:hAnsi="Avenir Book"/>
          <w:sz w:val="21"/>
          <w:szCs w:val="21"/>
        </w:rPr>
        <w:t xml:space="preserve">The </w:t>
      </w:r>
      <w:r w:rsidR="00335F2B" w:rsidRPr="00724CF8">
        <w:rPr>
          <w:rFonts w:ascii="Avenir Book" w:hAnsi="Avenir Book"/>
          <w:sz w:val="21"/>
          <w:szCs w:val="21"/>
        </w:rPr>
        <w:t xml:space="preserve">California regulations known as the </w:t>
      </w:r>
      <w:r w:rsidRPr="00724CF8">
        <w:rPr>
          <w:rFonts w:ascii="Avenir Book" w:hAnsi="Avenir Book"/>
          <w:sz w:val="21"/>
          <w:szCs w:val="21"/>
        </w:rPr>
        <w:t>California Building Code</w:t>
      </w:r>
      <w:r w:rsidR="00335F2B" w:rsidRPr="00724CF8">
        <w:rPr>
          <w:rFonts w:ascii="Avenir Book" w:hAnsi="Avenir Book"/>
          <w:sz w:val="21"/>
          <w:szCs w:val="21"/>
        </w:rPr>
        <w:t xml:space="preserve"> contain</w:t>
      </w:r>
      <w:r w:rsidRPr="00724CF8">
        <w:rPr>
          <w:rFonts w:ascii="Avenir Book" w:hAnsi="Avenir Book"/>
          <w:sz w:val="21"/>
          <w:szCs w:val="21"/>
        </w:rPr>
        <w:t xml:space="preserve"> comprehensive requirements regarding accessibility</w:t>
      </w:r>
      <w:r w:rsidR="00FF5D0B" w:rsidRPr="00724CF8">
        <w:rPr>
          <w:rFonts w:ascii="Avenir Book" w:hAnsi="Avenir Book"/>
          <w:sz w:val="21"/>
          <w:szCs w:val="21"/>
        </w:rPr>
        <w:t xml:space="preserve"> compliance</w:t>
      </w:r>
      <w:r w:rsidRPr="00724CF8">
        <w:rPr>
          <w:rFonts w:ascii="Avenir Book" w:hAnsi="Avenir Book"/>
          <w:sz w:val="21"/>
          <w:szCs w:val="21"/>
        </w:rPr>
        <w:t>.</w:t>
      </w:r>
      <w:r w:rsidR="00335F2B" w:rsidRPr="00724CF8">
        <w:rPr>
          <w:rFonts w:ascii="Avenir Book" w:hAnsi="Avenir Book"/>
          <w:sz w:val="21"/>
          <w:szCs w:val="21"/>
        </w:rPr>
        <w:t xml:space="preserve"> </w:t>
      </w:r>
      <w:r w:rsidRPr="00724CF8">
        <w:rPr>
          <w:rFonts w:ascii="Avenir Book" w:hAnsi="Avenir Book"/>
          <w:sz w:val="21"/>
          <w:szCs w:val="21"/>
        </w:rPr>
        <w:t xml:space="preserve"> (</w:t>
      </w:r>
      <w:r w:rsidR="00603CD0" w:rsidRPr="00724CF8">
        <w:rPr>
          <w:rFonts w:ascii="Avenir Book" w:hAnsi="Avenir Book"/>
          <w:sz w:val="21"/>
          <w:szCs w:val="21"/>
        </w:rPr>
        <w:t xml:space="preserve">2013 </w:t>
      </w:r>
      <w:r w:rsidRPr="00724CF8">
        <w:rPr>
          <w:rFonts w:ascii="Avenir Book" w:hAnsi="Avenir Book"/>
          <w:sz w:val="21"/>
          <w:szCs w:val="21"/>
        </w:rPr>
        <w:t xml:space="preserve">California Building Code, </w:t>
      </w:r>
      <w:r w:rsidR="00603CD0" w:rsidRPr="00724CF8">
        <w:rPr>
          <w:rFonts w:ascii="Avenir Book" w:hAnsi="Avenir Book"/>
          <w:sz w:val="21"/>
          <w:szCs w:val="21"/>
        </w:rPr>
        <w:t xml:space="preserve">C.C.R. </w:t>
      </w:r>
      <w:r w:rsidRPr="00724CF8">
        <w:rPr>
          <w:rFonts w:ascii="Avenir Book" w:hAnsi="Avenir Book"/>
          <w:sz w:val="21"/>
          <w:szCs w:val="21"/>
        </w:rPr>
        <w:t>Title 24, Part 2, Volume 1, Chapter</w:t>
      </w:r>
      <w:r w:rsidR="00603CD0" w:rsidRPr="00724CF8">
        <w:rPr>
          <w:rFonts w:ascii="Avenir Book" w:hAnsi="Avenir Book"/>
          <w:sz w:val="21"/>
          <w:szCs w:val="21"/>
        </w:rPr>
        <w:t>s 10, 11A, and 11B</w:t>
      </w:r>
      <w:r w:rsidRPr="00724CF8">
        <w:rPr>
          <w:rFonts w:ascii="Avenir Book" w:hAnsi="Avenir Book"/>
          <w:sz w:val="21"/>
          <w:szCs w:val="21"/>
        </w:rPr>
        <w:t>.)</w:t>
      </w:r>
      <w:r w:rsidR="00603CD0" w:rsidRPr="00724CF8">
        <w:rPr>
          <w:rFonts w:ascii="Avenir Book" w:hAnsi="Avenir Book"/>
          <w:sz w:val="21"/>
          <w:szCs w:val="21"/>
        </w:rPr>
        <w:t xml:space="preserve">  California Building Code requirements sometimes differ from – and have on occasion even been in direct</w:t>
      </w:r>
      <w:r w:rsidR="00335F2B" w:rsidRPr="00724CF8">
        <w:rPr>
          <w:rFonts w:ascii="Avenir Book" w:hAnsi="Avenir Book"/>
          <w:sz w:val="21"/>
          <w:szCs w:val="21"/>
        </w:rPr>
        <w:t xml:space="preserve"> conflict with – </w:t>
      </w:r>
      <w:r w:rsidR="00603CD0" w:rsidRPr="00724CF8">
        <w:rPr>
          <w:rFonts w:ascii="Avenir Book" w:hAnsi="Avenir Book"/>
          <w:sz w:val="21"/>
          <w:szCs w:val="21"/>
        </w:rPr>
        <w:t xml:space="preserve">federal accessibility requirements. </w:t>
      </w:r>
      <w:r w:rsidR="00335F2B" w:rsidRPr="00724CF8">
        <w:rPr>
          <w:rFonts w:ascii="Avenir Book" w:hAnsi="Avenir Book"/>
          <w:sz w:val="21"/>
          <w:szCs w:val="21"/>
        </w:rPr>
        <w:t xml:space="preserve"> </w:t>
      </w:r>
      <w:r w:rsidR="00603CD0" w:rsidRPr="00724CF8">
        <w:rPr>
          <w:rFonts w:ascii="Avenir Book" w:hAnsi="Avenir Book"/>
          <w:sz w:val="21"/>
          <w:szCs w:val="21"/>
        </w:rPr>
        <w:t xml:space="preserve">However, and particularly in recent years, an effort has been made to keep state requirements consistent with federal law. </w:t>
      </w:r>
      <w:r w:rsidR="00335F2B" w:rsidRPr="00724CF8">
        <w:rPr>
          <w:rFonts w:ascii="Avenir Book" w:hAnsi="Avenir Book"/>
          <w:sz w:val="21"/>
          <w:szCs w:val="21"/>
        </w:rPr>
        <w:t xml:space="preserve">Both the California Building Code and the ADAAG should be consulted when addressing </w:t>
      </w:r>
      <w:r w:rsidR="00FF5D0B" w:rsidRPr="00724CF8">
        <w:rPr>
          <w:rFonts w:ascii="Avenir Book" w:hAnsi="Avenir Book"/>
          <w:sz w:val="21"/>
          <w:szCs w:val="21"/>
        </w:rPr>
        <w:t xml:space="preserve">any </w:t>
      </w:r>
      <w:r w:rsidR="00335F2B" w:rsidRPr="00724CF8">
        <w:rPr>
          <w:rFonts w:ascii="Avenir Book" w:hAnsi="Avenir Book"/>
          <w:sz w:val="21"/>
          <w:szCs w:val="21"/>
        </w:rPr>
        <w:t>physical access issues.</w:t>
      </w:r>
    </w:p>
    <w:p w:rsidR="000B7616" w:rsidRPr="00724CF8" w:rsidRDefault="000B7616" w:rsidP="00235605">
      <w:pPr>
        <w:pStyle w:val="OutlineL3"/>
        <w:tabs>
          <w:tab w:val="clear" w:pos="2160"/>
          <w:tab w:val="num" w:pos="1800"/>
        </w:tabs>
        <w:rPr>
          <w:rFonts w:ascii="Avenir Book" w:hAnsi="Avenir Book"/>
          <w:sz w:val="21"/>
          <w:szCs w:val="21"/>
        </w:rPr>
      </w:pPr>
      <w:r w:rsidRPr="00724CF8">
        <w:rPr>
          <w:rFonts w:ascii="Avenir Book" w:hAnsi="Avenir Book"/>
          <w:sz w:val="21"/>
          <w:szCs w:val="21"/>
          <w:u w:val="single"/>
        </w:rPr>
        <w:t>Local and Municipal Laws, Regulations, and Ordinances</w:t>
      </w:r>
    </w:p>
    <w:p w:rsidR="00196620" w:rsidRPr="00093CB0" w:rsidRDefault="000B7616" w:rsidP="00093CB0">
      <w:pPr>
        <w:spacing w:after="240"/>
        <w:rPr>
          <w:rFonts w:ascii="Avenir Book" w:hAnsi="Avenir Book"/>
          <w:sz w:val="21"/>
          <w:szCs w:val="21"/>
        </w:rPr>
      </w:pPr>
      <w:r w:rsidRPr="00724CF8">
        <w:rPr>
          <w:rFonts w:ascii="Avenir Book" w:hAnsi="Avenir Book"/>
          <w:sz w:val="21"/>
          <w:szCs w:val="21"/>
        </w:rPr>
        <w:t>Some cities and counties have enacted their own laws, regulations, or ordinances related to disability discrimination and/or disability access</w:t>
      </w:r>
      <w:r w:rsidR="00CC3F96" w:rsidRPr="00724CF8">
        <w:rPr>
          <w:rFonts w:ascii="Avenir Book" w:hAnsi="Avenir Book"/>
          <w:sz w:val="21"/>
          <w:szCs w:val="21"/>
        </w:rPr>
        <w:t>, such as San Francisco’s service animal</w:t>
      </w:r>
      <w:r w:rsidR="00053BF3" w:rsidRPr="00724CF8">
        <w:rPr>
          <w:rFonts w:ascii="Avenir Book" w:hAnsi="Avenir Book"/>
          <w:sz w:val="21"/>
          <w:szCs w:val="21"/>
        </w:rPr>
        <w:t xml:space="preserve"> ordinance, described in Section IX</w:t>
      </w:r>
      <w:r w:rsidRPr="00724CF8">
        <w:rPr>
          <w:rFonts w:ascii="Avenir Book" w:hAnsi="Avenir Book"/>
          <w:sz w:val="21"/>
          <w:szCs w:val="21"/>
        </w:rPr>
        <w:t>. It is important that you familiarize yourself with any and all such laws, regulations, and ordinances so as to ensure that</w:t>
      </w:r>
      <w:r w:rsidR="00053BF3" w:rsidRPr="00724CF8">
        <w:rPr>
          <w:rFonts w:ascii="Avenir Book" w:hAnsi="Avenir Book"/>
          <w:sz w:val="21"/>
          <w:szCs w:val="21"/>
        </w:rPr>
        <w:t xml:space="preserve"> you are in compliance</w:t>
      </w:r>
      <w:r w:rsidRPr="00724CF8">
        <w:rPr>
          <w:rFonts w:ascii="Avenir Book" w:hAnsi="Avenir Book"/>
          <w:sz w:val="21"/>
          <w:szCs w:val="21"/>
        </w:rPr>
        <w:t>.</w:t>
      </w:r>
      <w:r w:rsidR="00196620">
        <w:rPr>
          <w:rFonts w:ascii="Avenir Book" w:hAnsi="Avenir Book"/>
          <w:b/>
          <w:sz w:val="21"/>
          <w:szCs w:val="21"/>
        </w:rPr>
        <w:br w:type="page"/>
      </w:r>
    </w:p>
    <w:p w:rsidR="00980A0A" w:rsidRPr="00D960F9" w:rsidRDefault="000C16F5" w:rsidP="00235605">
      <w:pPr>
        <w:pStyle w:val="OutlineL2"/>
        <w:tabs>
          <w:tab w:val="clear" w:pos="1440"/>
          <w:tab w:val="num" w:pos="1080"/>
        </w:tabs>
        <w:spacing w:after="120"/>
        <w:rPr>
          <w:rFonts w:ascii="Avenir Book" w:hAnsi="Avenir Book"/>
          <w:b/>
          <w:sz w:val="21"/>
          <w:szCs w:val="21"/>
          <w:u w:val="single"/>
        </w:rPr>
      </w:pPr>
      <w:r w:rsidRPr="00D960F9">
        <w:rPr>
          <w:rFonts w:ascii="Avenir Book" w:hAnsi="Avenir Book"/>
          <w:b/>
          <w:sz w:val="21"/>
          <w:szCs w:val="21"/>
        </w:rPr>
        <w:lastRenderedPageBreak/>
        <w:t>Enforcement</w:t>
      </w:r>
      <w:r w:rsidR="00167C38" w:rsidRPr="00D960F9">
        <w:rPr>
          <w:rFonts w:ascii="Avenir Book" w:hAnsi="Avenir Book"/>
          <w:b/>
          <w:sz w:val="21"/>
          <w:szCs w:val="21"/>
        </w:rPr>
        <w:t xml:space="preserve"> of Disability Access Laws</w:t>
      </w:r>
    </w:p>
    <w:p w:rsidR="00FF5D0B" w:rsidRPr="00724CF8" w:rsidRDefault="00A73675" w:rsidP="00973B7C">
      <w:pPr>
        <w:spacing w:after="60"/>
        <w:rPr>
          <w:rFonts w:ascii="Avenir Book" w:hAnsi="Avenir Book"/>
          <w:sz w:val="21"/>
          <w:szCs w:val="21"/>
        </w:rPr>
      </w:pPr>
      <w:r w:rsidRPr="00724CF8">
        <w:rPr>
          <w:rFonts w:ascii="Avenir Book" w:hAnsi="Avenir Book"/>
          <w:sz w:val="21"/>
          <w:szCs w:val="21"/>
        </w:rPr>
        <w:t>Individuals can file an</w:t>
      </w:r>
      <w:r w:rsidR="00980A0A" w:rsidRPr="00724CF8">
        <w:rPr>
          <w:rFonts w:ascii="Avenir Book" w:hAnsi="Avenir Book"/>
          <w:sz w:val="21"/>
          <w:szCs w:val="21"/>
        </w:rPr>
        <w:t xml:space="preserve"> </w:t>
      </w:r>
      <w:r w:rsidR="00335F2B" w:rsidRPr="00724CF8">
        <w:rPr>
          <w:rFonts w:ascii="Avenir Book" w:hAnsi="Avenir Book"/>
          <w:sz w:val="21"/>
          <w:szCs w:val="21"/>
        </w:rPr>
        <w:t xml:space="preserve">ADA </w:t>
      </w:r>
      <w:r w:rsidRPr="00724CF8">
        <w:rPr>
          <w:rFonts w:ascii="Avenir Book" w:hAnsi="Avenir Book"/>
          <w:sz w:val="21"/>
          <w:szCs w:val="21"/>
        </w:rPr>
        <w:t>disability discrimination complaint with</w:t>
      </w:r>
      <w:r w:rsidR="00980A0A" w:rsidRPr="00724CF8">
        <w:rPr>
          <w:rFonts w:ascii="Avenir Book" w:hAnsi="Avenir Book"/>
          <w:sz w:val="21"/>
          <w:szCs w:val="21"/>
        </w:rPr>
        <w:t xml:space="preserve"> the Department of Justice, or they can proceed with a</w:t>
      </w:r>
      <w:r w:rsidRPr="00724CF8">
        <w:rPr>
          <w:rFonts w:ascii="Avenir Book" w:hAnsi="Avenir Book"/>
          <w:sz w:val="21"/>
          <w:szCs w:val="21"/>
        </w:rPr>
        <w:t xml:space="preserve"> private</w:t>
      </w:r>
      <w:r w:rsidR="00980A0A" w:rsidRPr="00724CF8">
        <w:rPr>
          <w:rFonts w:ascii="Avenir Book" w:hAnsi="Avenir Book"/>
          <w:sz w:val="21"/>
          <w:szCs w:val="21"/>
        </w:rPr>
        <w:t xml:space="preserve"> civil action in court. </w:t>
      </w:r>
      <w:r w:rsidRPr="00724CF8">
        <w:rPr>
          <w:rFonts w:ascii="Avenir Book" w:hAnsi="Avenir Book"/>
          <w:sz w:val="21"/>
          <w:szCs w:val="21"/>
        </w:rPr>
        <w:t xml:space="preserve">(42 U.S.C. § 12188(a)(1).) </w:t>
      </w:r>
      <w:r w:rsidR="009D5298" w:rsidRPr="00724CF8">
        <w:rPr>
          <w:rFonts w:ascii="Avenir Book" w:hAnsi="Avenir Book"/>
          <w:sz w:val="21"/>
          <w:szCs w:val="21"/>
        </w:rPr>
        <w:t xml:space="preserve"> </w:t>
      </w:r>
      <w:r w:rsidR="004F7E65" w:rsidRPr="00724CF8">
        <w:rPr>
          <w:rFonts w:ascii="Avenir Book" w:hAnsi="Avenir Book"/>
          <w:sz w:val="21"/>
          <w:szCs w:val="21"/>
        </w:rPr>
        <w:t>In cases where enforcement is pursued by the</w:t>
      </w:r>
      <w:r w:rsidR="009D5298" w:rsidRPr="00724CF8">
        <w:rPr>
          <w:rFonts w:ascii="Avenir Book" w:hAnsi="Avenir Book"/>
          <w:sz w:val="21"/>
          <w:szCs w:val="21"/>
        </w:rPr>
        <w:t xml:space="preserve"> Attorney General, the Attorney General may commence a civil action</w:t>
      </w:r>
      <w:r w:rsidR="004F7E65" w:rsidRPr="00724CF8">
        <w:rPr>
          <w:rFonts w:ascii="Avenir Book" w:hAnsi="Avenir Book"/>
          <w:sz w:val="21"/>
          <w:szCs w:val="21"/>
        </w:rPr>
        <w:t xml:space="preserve"> with respect to the violation, and the court addressing that action may award injunctive relief, monetary damages, and civil penalties.</w:t>
      </w:r>
      <w:r w:rsidR="005F3248" w:rsidRPr="00724CF8">
        <w:rPr>
          <w:rFonts w:ascii="Avenir Book" w:hAnsi="Avenir Book"/>
          <w:sz w:val="21"/>
          <w:szCs w:val="21"/>
        </w:rPr>
        <w:t xml:space="preserve"> </w:t>
      </w:r>
      <w:r w:rsidR="004F7E65" w:rsidRPr="00724CF8">
        <w:rPr>
          <w:rFonts w:ascii="Avenir Book" w:hAnsi="Avenir Book"/>
          <w:sz w:val="21"/>
          <w:szCs w:val="21"/>
        </w:rPr>
        <w:t xml:space="preserve"> (42 U.S.C. § 12188(b).)</w:t>
      </w:r>
      <w:r w:rsidR="00FF5D0B" w:rsidRPr="00724CF8">
        <w:rPr>
          <w:rFonts w:ascii="Avenir Book" w:hAnsi="Avenir Book"/>
          <w:sz w:val="21"/>
          <w:szCs w:val="21"/>
        </w:rPr>
        <w:t xml:space="preserve"> </w:t>
      </w:r>
    </w:p>
    <w:p w:rsidR="00FF5D0B" w:rsidRPr="00724CF8" w:rsidRDefault="00FF5D0B" w:rsidP="00973B7C">
      <w:pPr>
        <w:spacing w:after="60"/>
        <w:rPr>
          <w:rFonts w:ascii="Avenir Book" w:hAnsi="Avenir Book"/>
          <w:sz w:val="21"/>
          <w:szCs w:val="21"/>
        </w:rPr>
      </w:pPr>
    </w:p>
    <w:p w:rsidR="00980A0A" w:rsidRPr="00724CF8" w:rsidRDefault="004F7E65" w:rsidP="00973B7C">
      <w:pPr>
        <w:spacing w:after="60"/>
        <w:rPr>
          <w:rFonts w:ascii="Avenir Book" w:hAnsi="Avenir Book"/>
          <w:sz w:val="21"/>
          <w:szCs w:val="21"/>
        </w:rPr>
      </w:pPr>
      <w:r w:rsidRPr="00724CF8">
        <w:rPr>
          <w:rFonts w:ascii="Avenir Book" w:hAnsi="Avenir Book"/>
          <w:sz w:val="21"/>
          <w:szCs w:val="21"/>
        </w:rPr>
        <w:t>In cases where the individual pursues a private civil action, t</w:t>
      </w:r>
      <w:r w:rsidR="00A73675" w:rsidRPr="00724CF8">
        <w:rPr>
          <w:rFonts w:ascii="Avenir Book" w:hAnsi="Avenir Book"/>
          <w:sz w:val="21"/>
          <w:szCs w:val="21"/>
        </w:rPr>
        <w:t>he c</w:t>
      </w:r>
      <w:r w:rsidR="00335F2B" w:rsidRPr="00724CF8">
        <w:rPr>
          <w:rFonts w:ascii="Avenir Book" w:hAnsi="Avenir Book"/>
          <w:sz w:val="21"/>
          <w:szCs w:val="21"/>
        </w:rPr>
        <w:t>ourt may order injunctive relief</w:t>
      </w:r>
      <w:r w:rsidR="005F3248" w:rsidRPr="00724CF8">
        <w:rPr>
          <w:rFonts w:ascii="Avenir Book" w:hAnsi="Avenir Book"/>
          <w:sz w:val="21"/>
          <w:szCs w:val="21"/>
        </w:rPr>
        <w:t>,</w:t>
      </w:r>
      <w:r w:rsidR="00335F2B" w:rsidRPr="00724CF8">
        <w:rPr>
          <w:rFonts w:ascii="Avenir Book" w:hAnsi="Avenir Book"/>
          <w:sz w:val="21"/>
          <w:szCs w:val="21"/>
        </w:rPr>
        <w:t xml:space="preserve"> which includ</w:t>
      </w:r>
      <w:r w:rsidR="00A73675" w:rsidRPr="00724CF8">
        <w:rPr>
          <w:rFonts w:ascii="Avenir Book" w:hAnsi="Avenir Book"/>
          <w:sz w:val="21"/>
          <w:szCs w:val="21"/>
        </w:rPr>
        <w:t>es an order to make a facility “readily accessible.”</w:t>
      </w:r>
      <w:r w:rsidR="00335F2B" w:rsidRPr="00724CF8">
        <w:rPr>
          <w:rFonts w:ascii="Avenir Book" w:hAnsi="Avenir Book"/>
          <w:sz w:val="21"/>
          <w:szCs w:val="21"/>
        </w:rPr>
        <w:t xml:space="preserve"> </w:t>
      </w:r>
      <w:r w:rsidRPr="00724CF8">
        <w:rPr>
          <w:rFonts w:ascii="Avenir Book" w:hAnsi="Avenir Book"/>
          <w:sz w:val="21"/>
          <w:szCs w:val="21"/>
        </w:rPr>
        <w:t>(</w:t>
      </w:r>
      <w:r w:rsidR="00335F2B" w:rsidRPr="00724CF8">
        <w:rPr>
          <w:rFonts w:ascii="Avenir Book" w:hAnsi="Avenir Book"/>
          <w:sz w:val="21"/>
          <w:szCs w:val="21"/>
        </w:rPr>
        <w:t>42 U.S.C. § 12188(a)(2).</w:t>
      </w:r>
      <w:r w:rsidRPr="00724CF8">
        <w:rPr>
          <w:rFonts w:ascii="Avenir Book" w:hAnsi="Avenir Book"/>
          <w:sz w:val="21"/>
          <w:szCs w:val="21"/>
        </w:rPr>
        <w:t>)</w:t>
      </w:r>
      <w:r w:rsidR="00A73675" w:rsidRPr="00724CF8">
        <w:rPr>
          <w:rFonts w:ascii="Avenir Book" w:hAnsi="Avenir Book"/>
          <w:sz w:val="21"/>
          <w:szCs w:val="21"/>
        </w:rPr>
        <w:t xml:space="preserve"> The court may also award attorney’s fees to the prevailing Plaintiff.</w:t>
      </w:r>
      <w:r w:rsidR="005F3248" w:rsidRPr="00724CF8">
        <w:rPr>
          <w:rFonts w:ascii="Avenir Book" w:hAnsi="Avenir Book"/>
          <w:sz w:val="21"/>
          <w:szCs w:val="21"/>
        </w:rPr>
        <w:t xml:space="preserve"> </w:t>
      </w:r>
      <w:r w:rsidR="00A73675" w:rsidRPr="00724CF8">
        <w:rPr>
          <w:rFonts w:ascii="Avenir Book" w:hAnsi="Avenir Book"/>
          <w:sz w:val="21"/>
          <w:szCs w:val="21"/>
        </w:rPr>
        <w:t xml:space="preserve"> (</w:t>
      </w:r>
      <w:r w:rsidRPr="00724CF8">
        <w:rPr>
          <w:rFonts w:ascii="Avenir Book" w:hAnsi="Avenir Book"/>
          <w:sz w:val="21"/>
          <w:szCs w:val="21"/>
        </w:rPr>
        <w:t>42 U.S.C. § 12188(a)(1).)</w:t>
      </w:r>
      <w:r w:rsidR="00A73675" w:rsidRPr="00724CF8">
        <w:rPr>
          <w:rFonts w:ascii="Avenir Book" w:hAnsi="Avenir Book"/>
          <w:sz w:val="21"/>
          <w:szCs w:val="21"/>
        </w:rPr>
        <w:t xml:space="preserve"> </w:t>
      </w:r>
    </w:p>
    <w:p w:rsidR="00A73675" w:rsidRPr="00724CF8" w:rsidRDefault="00A73675" w:rsidP="00973B7C">
      <w:pPr>
        <w:spacing w:after="60"/>
        <w:rPr>
          <w:rFonts w:ascii="Avenir Book" w:hAnsi="Avenir Book"/>
          <w:sz w:val="21"/>
          <w:szCs w:val="21"/>
        </w:rPr>
      </w:pPr>
    </w:p>
    <w:p w:rsidR="00A73675" w:rsidRPr="00724CF8" w:rsidRDefault="00A73675" w:rsidP="00973B7C">
      <w:pPr>
        <w:spacing w:after="60"/>
        <w:rPr>
          <w:rFonts w:ascii="Avenir Book" w:hAnsi="Avenir Book"/>
          <w:sz w:val="21"/>
          <w:szCs w:val="21"/>
        </w:rPr>
      </w:pPr>
      <w:r w:rsidRPr="00724CF8">
        <w:rPr>
          <w:rFonts w:ascii="Avenir Book" w:hAnsi="Avenir Book"/>
          <w:sz w:val="21"/>
          <w:szCs w:val="21"/>
        </w:rPr>
        <w:t>The ADA does not provide a right</w:t>
      </w:r>
      <w:r w:rsidR="004F7E65" w:rsidRPr="00724CF8">
        <w:rPr>
          <w:rFonts w:ascii="Avenir Book" w:hAnsi="Avenir Book"/>
          <w:sz w:val="21"/>
          <w:szCs w:val="21"/>
        </w:rPr>
        <w:t xml:space="preserve"> for a private plaintiff </w:t>
      </w:r>
      <w:r w:rsidRPr="00724CF8">
        <w:rPr>
          <w:rFonts w:ascii="Avenir Book" w:hAnsi="Avenir Book"/>
          <w:sz w:val="21"/>
          <w:szCs w:val="21"/>
        </w:rPr>
        <w:t xml:space="preserve">to obtain monetary damages for access violations. However, </w:t>
      </w:r>
      <w:r w:rsidR="004F7E65" w:rsidRPr="00724CF8">
        <w:rPr>
          <w:rFonts w:ascii="Avenir Book" w:hAnsi="Avenir Book"/>
          <w:sz w:val="21"/>
          <w:szCs w:val="21"/>
        </w:rPr>
        <w:t xml:space="preserve">such </w:t>
      </w:r>
      <w:r w:rsidRPr="00724CF8">
        <w:rPr>
          <w:rFonts w:ascii="Avenir Book" w:hAnsi="Avenir Book"/>
          <w:sz w:val="21"/>
          <w:szCs w:val="21"/>
        </w:rPr>
        <w:t xml:space="preserve">damages may be recovered under California law. </w:t>
      </w:r>
      <w:r w:rsidR="005F3248" w:rsidRPr="00724CF8">
        <w:rPr>
          <w:rFonts w:ascii="Avenir Book" w:hAnsi="Avenir Book"/>
          <w:sz w:val="21"/>
          <w:szCs w:val="21"/>
        </w:rPr>
        <w:t xml:space="preserve">The usual basis for claims for access violation damages in California is the Unruh Act, which provides that a violating party may be subject to up to a maximum of three times the amount of actual damages, but in no case less than four thousand dollars ($4,000.00) per violation, as well as attorney’s fees. (Cal. Civ. Code § 52(a).) </w:t>
      </w:r>
    </w:p>
    <w:p w:rsidR="00A73675" w:rsidRPr="00724CF8" w:rsidRDefault="00A73675" w:rsidP="00973B7C">
      <w:pPr>
        <w:spacing w:after="60"/>
        <w:ind w:left="360" w:hanging="360"/>
        <w:rPr>
          <w:rFonts w:ascii="Avenir Book" w:hAnsi="Avenir Book"/>
          <w:sz w:val="21"/>
          <w:szCs w:val="21"/>
        </w:rPr>
      </w:pPr>
      <w:r w:rsidRPr="00724CF8">
        <w:rPr>
          <w:rFonts w:ascii="Avenir Book" w:hAnsi="Avenir Book"/>
          <w:sz w:val="21"/>
          <w:szCs w:val="21"/>
        </w:rPr>
        <w:t xml:space="preserve"> </w:t>
      </w:r>
    </w:p>
    <w:p w:rsidR="00EE7F5E" w:rsidRDefault="00A73675" w:rsidP="00973B7C">
      <w:pPr>
        <w:spacing w:after="60"/>
        <w:rPr>
          <w:rFonts w:ascii="Avenir Book" w:hAnsi="Avenir Book"/>
          <w:sz w:val="21"/>
          <w:szCs w:val="21"/>
        </w:rPr>
      </w:pPr>
      <w:r w:rsidRPr="00724CF8">
        <w:rPr>
          <w:rFonts w:ascii="Avenir Book" w:hAnsi="Avenir Book"/>
          <w:sz w:val="21"/>
          <w:szCs w:val="21"/>
        </w:rPr>
        <w:t>In California, disability discrimination complaints associated with public accommodations may also be filed with the Department of Fair Employment and Hou</w:t>
      </w:r>
      <w:r w:rsidR="00C14833" w:rsidRPr="00724CF8">
        <w:rPr>
          <w:rFonts w:ascii="Avenir Book" w:hAnsi="Avenir Book"/>
          <w:sz w:val="21"/>
          <w:szCs w:val="21"/>
        </w:rPr>
        <w:t xml:space="preserve">sing (“DFEH”). The DFEH has the ability to litigate any such matters either before the Fair Employment and Housing Commission or in civil court, and may obtain all remedies available for civil violations. </w:t>
      </w:r>
    </w:p>
    <w:p w:rsidR="00120E83" w:rsidRDefault="00120E83">
      <w:pPr>
        <w:spacing w:after="200" w:line="276" w:lineRule="auto"/>
        <w:rPr>
          <w:rFonts w:ascii="Avenir Book" w:hAnsi="Avenir Book"/>
          <w:sz w:val="21"/>
          <w:szCs w:val="21"/>
        </w:rPr>
      </w:pPr>
      <w:r>
        <w:rPr>
          <w:rFonts w:ascii="Avenir Book" w:hAnsi="Avenir Book"/>
          <w:sz w:val="21"/>
          <w:szCs w:val="21"/>
        </w:rPr>
        <w:br w:type="page"/>
      </w:r>
    </w:p>
    <w:p w:rsidR="00FE007E" w:rsidRPr="007C25EB" w:rsidRDefault="007C25EB" w:rsidP="007C25EB">
      <w:pPr>
        <w:pStyle w:val="OutlineL1"/>
        <w:tabs>
          <w:tab w:val="clear" w:pos="720"/>
          <w:tab w:val="num" w:pos="360"/>
        </w:tabs>
        <w:rPr>
          <w:rFonts w:ascii="Avenir Book" w:hAnsi="Avenir Book"/>
          <w:b/>
          <w:sz w:val="21"/>
          <w:szCs w:val="21"/>
        </w:rPr>
      </w:pPr>
      <w:r w:rsidRPr="007C25EB">
        <w:rPr>
          <w:rFonts w:ascii="Avenir Book" w:hAnsi="Avenir Book"/>
          <w:b/>
          <w:sz w:val="21"/>
          <w:szCs w:val="21"/>
        </w:rPr>
        <w:lastRenderedPageBreak/>
        <w:t xml:space="preserve">UNDERSTANDING YOUR OBLIGATIONS AS A LANDLORD OR A TENANT </w:t>
      </w:r>
    </w:p>
    <w:p w:rsidR="009D0336" w:rsidRPr="00D960F9" w:rsidRDefault="00C94969"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Allocating</w:t>
      </w:r>
      <w:r w:rsidR="009D0336" w:rsidRPr="00D960F9">
        <w:rPr>
          <w:rFonts w:ascii="Avenir Book" w:hAnsi="Avenir Book"/>
          <w:b/>
          <w:sz w:val="21"/>
          <w:szCs w:val="21"/>
        </w:rPr>
        <w:t xml:space="preserve"> the Obligation for </w:t>
      </w:r>
      <w:r w:rsidR="000D5A5C" w:rsidRPr="00D960F9">
        <w:rPr>
          <w:rFonts w:ascii="Avenir Book" w:hAnsi="Avenir Book"/>
          <w:b/>
          <w:sz w:val="21"/>
          <w:szCs w:val="21"/>
        </w:rPr>
        <w:t xml:space="preserve">Disability </w:t>
      </w:r>
      <w:r w:rsidR="009D0336" w:rsidRPr="00D960F9">
        <w:rPr>
          <w:rFonts w:ascii="Avenir Book" w:hAnsi="Avenir Book"/>
          <w:b/>
          <w:sz w:val="21"/>
          <w:szCs w:val="21"/>
        </w:rPr>
        <w:t>Access Compl</w:t>
      </w:r>
      <w:r w:rsidRPr="00D960F9">
        <w:rPr>
          <w:rFonts w:ascii="Avenir Book" w:hAnsi="Avenir Book"/>
          <w:b/>
          <w:sz w:val="21"/>
          <w:szCs w:val="21"/>
        </w:rPr>
        <w:t>iance</w:t>
      </w:r>
    </w:p>
    <w:p w:rsidR="004D7E9A" w:rsidRPr="00724CF8" w:rsidRDefault="00DD183C" w:rsidP="007C25EB">
      <w:pPr>
        <w:tabs>
          <w:tab w:val="num" w:pos="1080"/>
        </w:tabs>
        <w:rPr>
          <w:rFonts w:ascii="Avenir Book" w:hAnsi="Avenir Book"/>
          <w:sz w:val="21"/>
          <w:szCs w:val="21"/>
        </w:rPr>
      </w:pPr>
      <w:r w:rsidRPr="00724CF8">
        <w:rPr>
          <w:rFonts w:ascii="Avenir Book" w:hAnsi="Avenir Book"/>
          <w:sz w:val="21"/>
          <w:szCs w:val="21"/>
        </w:rPr>
        <w:t xml:space="preserve"> </w:t>
      </w:r>
      <w:r w:rsidR="009C6C1C" w:rsidRPr="00724CF8">
        <w:rPr>
          <w:rFonts w:ascii="Avenir Book" w:hAnsi="Avenir Book"/>
          <w:sz w:val="21"/>
          <w:szCs w:val="21"/>
        </w:rPr>
        <w:t xml:space="preserve">Any person </w:t>
      </w:r>
      <w:r w:rsidRPr="00724CF8">
        <w:rPr>
          <w:rFonts w:ascii="Avenir Book" w:hAnsi="Avenir Book"/>
          <w:sz w:val="21"/>
          <w:szCs w:val="21"/>
        </w:rPr>
        <w:t>“who owns, leases (or leases to), or operates a place of public accommodation” that discriminates against an individual on the basis of disability</w:t>
      </w:r>
      <w:r w:rsidR="009C6C1C" w:rsidRPr="00724CF8">
        <w:rPr>
          <w:rFonts w:ascii="Avenir Book" w:hAnsi="Avenir Book"/>
          <w:sz w:val="21"/>
          <w:szCs w:val="21"/>
        </w:rPr>
        <w:t xml:space="preserve"> is subject to liability under the ADA</w:t>
      </w:r>
      <w:r w:rsidRPr="00724CF8">
        <w:rPr>
          <w:rFonts w:ascii="Avenir Book" w:hAnsi="Avenir Book"/>
          <w:sz w:val="21"/>
          <w:szCs w:val="21"/>
        </w:rPr>
        <w:t>.  (42 U.S.C. § 12182</w:t>
      </w:r>
      <w:r w:rsidR="009C6C1C" w:rsidRPr="00724CF8">
        <w:rPr>
          <w:rFonts w:ascii="Avenir Book" w:hAnsi="Avenir Book"/>
          <w:sz w:val="21"/>
          <w:szCs w:val="21"/>
        </w:rPr>
        <w:t>(a)</w:t>
      </w:r>
      <w:r w:rsidRPr="00724CF8">
        <w:rPr>
          <w:rFonts w:ascii="Avenir Book" w:hAnsi="Avenir Book"/>
          <w:sz w:val="21"/>
          <w:szCs w:val="21"/>
        </w:rPr>
        <w:t>.)</w:t>
      </w:r>
      <w:r w:rsidR="009D0336" w:rsidRPr="00724CF8">
        <w:rPr>
          <w:rFonts w:ascii="Avenir Book" w:hAnsi="Avenir Book"/>
          <w:sz w:val="21"/>
          <w:szCs w:val="21"/>
        </w:rPr>
        <w:t xml:space="preserve"> While t</w:t>
      </w:r>
      <w:r w:rsidR="003E3B9F" w:rsidRPr="00724CF8">
        <w:rPr>
          <w:rFonts w:ascii="Avenir Book" w:hAnsi="Avenir Book"/>
          <w:sz w:val="21"/>
          <w:szCs w:val="21"/>
        </w:rPr>
        <w:t>enants and landlords may</w:t>
      </w:r>
      <w:r w:rsidR="00592CDA" w:rsidRPr="00724CF8">
        <w:rPr>
          <w:rFonts w:ascii="Avenir Book" w:hAnsi="Avenir Book"/>
          <w:sz w:val="21"/>
          <w:szCs w:val="21"/>
        </w:rPr>
        <w:t xml:space="preserve"> allocate </w:t>
      </w:r>
      <w:r w:rsidR="003E3B9F" w:rsidRPr="00724CF8">
        <w:rPr>
          <w:rFonts w:ascii="Avenir Book" w:hAnsi="Avenir Book"/>
          <w:sz w:val="21"/>
          <w:szCs w:val="21"/>
        </w:rPr>
        <w:t xml:space="preserve">ADA </w:t>
      </w:r>
      <w:r w:rsidR="00592CDA" w:rsidRPr="00724CF8">
        <w:rPr>
          <w:rFonts w:ascii="Avenir Book" w:hAnsi="Avenir Book"/>
          <w:sz w:val="21"/>
          <w:szCs w:val="21"/>
        </w:rPr>
        <w:t>compliance responsibility by lease or other contract</w:t>
      </w:r>
      <w:r w:rsidR="00EF6DCA" w:rsidRPr="00724CF8">
        <w:rPr>
          <w:rFonts w:ascii="Avenir Book" w:hAnsi="Avenir Book"/>
          <w:sz w:val="21"/>
          <w:szCs w:val="21"/>
        </w:rPr>
        <w:t xml:space="preserve"> (such as by confirming who is responsible for access compliance in common areas)</w:t>
      </w:r>
      <w:r w:rsidR="00592CDA" w:rsidRPr="00724CF8">
        <w:rPr>
          <w:rFonts w:ascii="Avenir Book" w:hAnsi="Avenir Book"/>
          <w:sz w:val="21"/>
          <w:szCs w:val="21"/>
        </w:rPr>
        <w:t>, such allocation is only effective as betw</w:t>
      </w:r>
      <w:r w:rsidR="003E3B9F" w:rsidRPr="00724CF8">
        <w:rPr>
          <w:rFonts w:ascii="Avenir Book" w:hAnsi="Avenir Book"/>
          <w:sz w:val="21"/>
          <w:szCs w:val="21"/>
        </w:rPr>
        <w:t xml:space="preserve">een the landlord and the tenant. </w:t>
      </w:r>
      <w:r w:rsidRPr="00724CF8">
        <w:rPr>
          <w:rFonts w:ascii="Avenir Book" w:hAnsi="Avenir Book"/>
          <w:sz w:val="21"/>
          <w:szCs w:val="21"/>
        </w:rPr>
        <w:t xml:space="preserve">(28 C.F.R. § 36.201(b).)  </w:t>
      </w:r>
      <w:r w:rsidR="006010A0" w:rsidRPr="00724CF8">
        <w:rPr>
          <w:rFonts w:ascii="Avenir Book" w:hAnsi="Avenir Book"/>
          <w:sz w:val="21"/>
          <w:szCs w:val="21"/>
        </w:rPr>
        <w:t>In other words,</w:t>
      </w:r>
      <w:r w:rsidR="003E3B9F" w:rsidRPr="00724CF8">
        <w:rPr>
          <w:rFonts w:ascii="Avenir Book" w:hAnsi="Avenir Book"/>
          <w:sz w:val="21"/>
          <w:szCs w:val="21"/>
        </w:rPr>
        <w:t xml:space="preserve"> notwithstanding the allocation of responsibility between </w:t>
      </w:r>
      <w:r w:rsidR="006010A0" w:rsidRPr="00724CF8">
        <w:rPr>
          <w:rFonts w:ascii="Avenir Book" w:hAnsi="Avenir Book"/>
          <w:sz w:val="21"/>
          <w:szCs w:val="21"/>
        </w:rPr>
        <w:t>a landlord and a tenant</w:t>
      </w:r>
      <w:r w:rsidR="003E3B9F" w:rsidRPr="00724CF8">
        <w:rPr>
          <w:rFonts w:ascii="Avenir Book" w:hAnsi="Avenir Book"/>
          <w:sz w:val="21"/>
          <w:szCs w:val="21"/>
        </w:rPr>
        <w:t>,</w:t>
      </w:r>
      <w:r w:rsidR="00592CDA" w:rsidRPr="00724CF8">
        <w:rPr>
          <w:rFonts w:ascii="Avenir Book" w:hAnsi="Avenir Book"/>
          <w:sz w:val="21"/>
          <w:szCs w:val="21"/>
        </w:rPr>
        <w:t xml:space="preserve"> an individual with a disability may pursue statutory claims against either</w:t>
      </w:r>
      <w:r w:rsidR="006010A0" w:rsidRPr="00724CF8">
        <w:rPr>
          <w:rFonts w:ascii="Avenir Book" w:hAnsi="Avenir Book"/>
          <w:sz w:val="21"/>
          <w:szCs w:val="21"/>
        </w:rPr>
        <w:t xml:space="preserve"> the</w:t>
      </w:r>
      <w:r w:rsidR="00592CDA" w:rsidRPr="00724CF8">
        <w:rPr>
          <w:rFonts w:ascii="Avenir Book" w:hAnsi="Avenir Book"/>
          <w:sz w:val="21"/>
          <w:szCs w:val="21"/>
        </w:rPr>
        <w:t xml:space="preserve"> </w:t>
      </w:r>
      <w:r w:rsidR="003E3B9F" w:rsidRPr="00724CF8">
        <w:rPr>
          <w:rFonts w:ascii="Avenir Book" w:hAnsi="Avenir Book"/>
          <w:sz w:val="21"/>
          <w:szCs w:val="21"/>
        </w:rPr>
        <w:t xml:space="preserve">landlord or </w:t>
      </w:r>
      <w:r w:rsidR="006010A0" w:rsidRPr="00724CF8">
        <w:rPr>
          <w:rFonts w:ascii="Avenir Book" w:hAnsi="Avenir Book"/>
          <w:sz w:val="21"/>
          <w:szCs w:val="21"/>
        </w:rPr>
        <w:t xml:space="preserve">the </w:t>
      </w:r>
      <w:r w:rsidR="003E3B9F" w:rsidRPr="00724CF8">
        <w:rPr>
          <w:rFonts w:ascii="Avenir Book" w:hAnsi="Avenir Book"/>
          <w:sz w:val="21"/>
          <w:szCs w:val="21"/>
        </w:rPr>
        <w:t xml:space="preserve">tenant, </w:t>
      </w:r>
      <w:r w:rsidR="00592CDA" w:rsidRPr="00724CF8">
        <w:rPr>
          <w:rFonts w:ascii="Avenir Book" w:hAnsi="Avenir Book"/>
          <w:sz w:val="21"/>
          <w:szCs w:val="21"/>
        </w:rPr>
        <w:t xml:space="preserve">or </w:t>
      </w:r>
      <w:r w:rsidR="006010A0" w:rsidRPr="00724CF8">
        <w:rPr>
          <w:rFonts w:ascii="Avenir Book" w:hAnsi="Avenir Book"/>
          <w:sz w:val="21"/>
          <w:szCs w:val="21"/>
        </w:rPr>
        <w:t xml:space="preserve">against </w:t>
      </w:r>
      <w:r w:rsidR="00592CDA" w:rsidRPr="00724CF8">
        <w:rPr>
          <w:rFonts w:ascii="Avenir Book" w:hAnsi="Avenir Book"/>
          <w:sz w:val="21"/>
          <w:szCs w:val="21"/>
        </w:rPr>
        <w:t xml:space="preserve">both. </w:t>
      </w:r>
      <w:r w:rsidR="006010A0" w:rsidRPr="00724CF8">
        <w:rPr>
          <w:rFonts w:ascii="Avenir Book" w:hAnsi="Avenir Book"/>
          <w:sz w:val="21"/>
          <w:szCs w:val="21"/>
        </w:rPr>
        <w:t>(</w:t>
      </w:r>
      <w:proofErr w:type="spellStart"/>
      <w:r w:rsidR="009D0336" w:rsidRPr="00724CF8">
        <w:rPr>
          <w:rFonts w:ascii="Avenir Book" w:hAnsi="Avenir Book"/>
          <w:sz w:val="21"/>
          <w:szCs w:val="21"/>
        </w:rPr>
        <w:t>Botosan</w:t>
      </w:r>
      <w:proofErr w:type="spellEnd"/>
      <w:r w:rsidR="009D0336" w:rsidRPr="00724CF8">
        <w:rPr>
          <w:rFonts w:ascii="Avenir Book" w:hAnsi="Avenir Book"/>
          <w:sz w:val="21"/>
          <w:szCs w:val="21"/>
        </w:rPr>
        <w:t xml:space="preserve"> v. </w:t>
      </w:r>
      <w:r w:rsidR="00586CC7" w:rsidRPr="00724CF8">
        <w:rPr>
          <w:rFonts w:ascii="Avenir Book" w:hAnsi="Avenir Book"/>
          <w:sz w:val="21"/>
          <w:szCs w:val="21"/>
        </w:rPr>
        <w:t>Paul McNally Realty</w:t>
      </w:r>
      <w:r w:rsidR="009D0336" w:rsidRPr="00724CF8">
        <w:rPr>
          <w:rFonts w:ascii="Avenir Book" w:hAnsi="Avenir Book"/>
          <w:sz w:val="21"/>
          <w:szCs w:val="21"/>
        </w:rPr>
        <w:t xml:space="preserve">, </w:t>
      </w:r>
      <w:r w:rsidR="00586CC7" w:rsidRPr="00724CF8">
        <w:rPr>
          <w:rFonts w:ascii="Avenir Book" w:hAnsi="Avenir Book"/>
          <w:sz w:val="21"/>
          <w:szCs w:val="21"/>
        </w:rPr>
        <w:t>216 F.3d 827, 833-34 (9th Cir. 2000).)</w:t>
      </w:r>
    </w:p>
    <w:p w:rsidR="00EF6DCA" w:rsidRPr="00724CF8" w:rsidRDefault="00EF6DCA" w:rsidP="007C25EB">
      <w:pPr>
        <w:tabs>
          <w:tab w:val="num" w:pos="1080"/>
        </w:tabs>
        <w:rPr>
          <w:rFonts w:ascii="Avenir Book" w:hAnsi="Avenir Book"/>
          <w:sz w:val="21"/>
          <w:szCs w:val="21"/>
        </w:rPr>
      </w:pPr>
    </w:p>
    <w:p w:rsidR="00C94969" w:rsidRPr="00724CF8" w:rsidRDefault="00C94969" w:rsidP="007C25EB">
      <w:pPr>
        <w:tabs>
          <w:tab w:val="num" w:pos="1080"/>
        </w:tabs>
        <w:rPr>
          <w:rFonts w:ascii="Avenir Book" w:hAnsi="Avenir Book"/>
          <w:sz w:val="21"/>
          <w:szCs w:val="21"/>
        </w:rPr>
      </w:pPr>
      <w:r w:rsidRPr="00724CF8">
        <w:rPr>
          <w:rFonts w:ascii="Avenir Book" w:hAnsi="Avenir Book"/>
          <w:sz w:val="21"/>
          <w:szCs w:val="21"/>
        </w:rPr>
        <w:t xml:space="preserve">It is also important to understand that </w:t>
      </w:r>
      <w:r w:rsidR="00586CC7" w:rsidRPr="00724CF8">
        <w:rPr>
          <w:rFonts w:ascii="Avenir Book" w:hAnsi="Avenir Book"/>
          <w:sz w:val="21"/>
          <w:szCs w:val="21"/>
        </w:rPr>
        <w:t xml:space="preserve">because of this joint liability, </w:t>
      </w:r>
      <w:r w:rsidRPr="00724CF8">
        <w:rPr>
          <w:rFonts w:ascii="Avenir Book" w:hAnsi="Avenir Book"/>
          <w:sz w:val="21"/>
          <w:szCs w:val="21"/>
        </w:rPr>
        <w:t>lease restrictions will likely not be an effective defense to an access violation claim. In Grove v. De La Cruz, 407 F.Supp.2d 1126 (C.D. Cal. 2005), the court confirmed that the proposed barrier removal was readily achievable, and that liability could</w:t>
      </w:r>
      <w:r w:rsidR="009C6C1C" w:rsidRPr="00724CF8">
        <w:rPr>
          <w:rFonts w:ascii="Avenir Book" w:hAnsi="Avenir Book"/>
          <w:sz w:val="21"/>
          <w:szCs w:val="21"/>
        </w:rPr>
        <w:t xml:space="preserve"> therefore be imposed on a tenant </w:t>
      </w:r>
      <w:r w:rsidRPr="00724CF8">
        <w:rPr>
          <w:rFonts w:ascii="Avenir Book" w:hAnsi="Avenir Book"/>
          <w:sz w:val="21"/>
          <w:szCs w:val="21"/>
        </w:rPr>
        <w:t xml:space="preserve">even though the lease agreement prohibited </w:t>
      </w:r>
      <w:r w:rsidR="009C6C1C" w:rsidRPr="00724CF8">
        <w:rPr>
          <w:rFonts w:ascii="Avenir Book" w:hAnsi="Avenir Book"/>
          <w:sz w:val="21"/>
          <w:szCs w:val="21"/>
        </w:rPr>
        <w:t>the tenant</w:t>
      </w:r>
      <w:r w:rsidRPr="00724CF8">
        <w:rPr>
          <w:rFonts w:ascii="Avenir Book" w:hAnsi="Avenir Book"/>
          <w:sz w:val="21"/>
          <w:szCs w:val="21"/>
        </w:rPr>
        <w:t xml:space="preserve"> from making physical alterations to the property.  (Id. at </w:t>
      </w:r>
      <w:r w:rsidR="00586CC7" w:rsidRPr="00724CF8">
        <w:rPr>
          <w:rFonts w:ascii="Avenir Book" w:hAnsi="Avenir Book"/>
          <w:sz w:val="21"/>
          <w:szCs w:val="21"/>
        </w:rPr>
        <w:t>1133</w:t>
      </w:r>
      <w:r w:rsidRPr="00724CF8">
        <w:rPr>
          <w:rFonts w:ascii="Avenir Book" w:hAnsi="Avenir Book"/>
          <w:sz w:val="21"/>
          <w:szCs w:val="21"/>
        </w:rPr>
        <w:t xml:space="preserve">.) </w:t>
      </w:r>
    </w:p>
    <w:p w:rsidR="00C94969" w:rsidRPr="00724CF8" w:rsidRDefault="00C94969" w:rsidP="007C25EB">
      <w:pPr>
        <w:tabs>
          <w:tab w:val="num" w:pos="1080"/>
        </w:tabs>
        <w:rPr>
          <w:rFonts w:ascii="Avenir Book" w:hAnsi="Avenir Book"/>
          <w:sz w:val="21"/>
          <w:szCs w:val="21"/>
        </w:rPr>
      </w:pPr>
    </w:p>
    <w:p w:rsidR="00C94969" w:rsidRPr="00D960F9" w:rsidRDefault="00B34329"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What Should Be In</w:t>
      </w:r>
      <w:r w:rsidR="00C94969" w:rsidRPr="00D960F9">
        <w:rPr>
          <w:rFonts w:ascii="Avenir Book" w:hAnsi="Avenir Book"/>
          <w:b/>
          <w:sz w:val="21"/>
          <w:szCs w:val="21"/>
        </w:rPr>
        <w:t xml:space="preserve"> Your Lease</w:t>
      </w:r>
      <w:r w:rsidRPr="00D960F9">
        <w:rPr>
          <w:rFonts w:ascii="Avenir Book" w:hAnsi="Avenir Book"/>
          <w:b/>
          <w:sz w:val="21"/>
          <w:szCs w:val="21"/>
        </w:rPr>
        <w:t>?</w:t>
      </w:r>
    </w:p>
    <w:p w:rsidR="004D7E9A" w:rsidRPr="00724CF8" w:rsidRDefault="002B6525">
      <w:pPr>
        <w:rPr>
          <w:rFonts w:ascii="Avenir Book" w:hAnsi="Avenir Book"/>
          <w:sz w:val="21"/>
          <w:szCs w:val="21"/>
        </w:rPr>
      </w:pPr>
      <w:r w:rsidRPr="00724CF8">
        <w:rPr>
          <w:rFonts w:ascii="Avenir Book" w:hAnsi="Avenir Book"/>
          <w:sz w:val="21"/>
          <w:szCs w:val="21"/>
        </w:rPr>
        <w:t>Although</w:t>
      </w:r>
      <w:r w:rsidR="00EF6DCA" w:rsidRPr="00724CF8">
        <w:rPr>
          <w:rFonts w:ascii="Avenir Book" w:hAnsi="Avenir Book"/>
          <w:sz w:val="21"/>
          <w:szCs w:val="21"/>
        </w:rPr>
        <w:t xml:space="preserve"> lease</w:t>
      </w:r>
      <w:r w:rsidRPr="00724CF8">
        <w:rPr>
          <w:rFonts w:ascii="Avenir Book" w:hAnsi="Avenir Book"/>
          <w:sz w:val="21"/>
          <w:szCs w:val="21"/>
        </w:rPr>
        <w:t xml:space="preserve"> allocations will </w:t>
      </w:r>
      <w:r w:rsidR="00EF6DCA" w:rsidRPr="00724CF8">
        <w:rPr>
          <w:rFonts w:ascii="Avenir Book" w:hAnsi="Avenir Book"/>
          <w:sz w:val="21"/>
          <w:szCs w:val="21"/>
        </w:rPr>
        <w:t xml:space="preserve">not prevent the imposition of liability by a third party, it is critical that landlords and tenants understand their access law obligations under </w:t>
      </w:r>
      <w:r w:rsidR="00B34329" w:rsidRPr="00724CF8">
        <w:rPr>
          <w:rFonts w:ascii="Avenir Book" w:hAnsi="Avenir Book"/>
          <w:sz w:val="21"/>
          <w:szCs w:val="21"/>
        </w:rPr>
        <w:t>their</w:t>
      </w:r>
      <w:r w:rsidR="00EF6DCA" w:rsidRPr="00724CF8">
        <w:rPr>
          <w:rFonts w:ascii="Avenir Book" w:hAnsi="Avenir Book"/>
          <w:sz w:val="21"/>
          <w:szCs w:val="21"/>
        </w:rPr>
        <w:t xml:space="preserve"> lease</w:t>
      </w:r>
      <w:r w:rsidR="00B34329" w:rsidRPr="00724CF8">
        <w:rPr>
          <w:rFonts w:ascii="Avenir Book" w:hAnsi="Avenir Book"/>
          <w:sz w:val="21"/>
          <w:szCs w:val="21"/>
        </w:rPr>
        <w:t>s</w:t>
      </w:r>
      <w:r w:rsidR="00EF6DCA" w:rsidRPr="00724CF8">
        <w:rPr>
          <w:rFonts w:ascii="Avenir Book" w:hAnsi="Avenir Book"/>
          <w:sz w:val="21"/>
          <w:szCs w:val="21"/>
        </w:rPr>
        <w:t xml:space="preserve"> and perform accordingly</w:t>
      </w:r>
      <w:r w:rsidRPr="00724CF8">
        <w:rPr>
          <w:rFonts w:ascii="Avenir Book" w:hAnsi="Avenir Book"/>
          <w:sz w:val="21"/>
          <w:szCs w:val="21"/>
        </w:rPr>
        <w:t>, both to potentially avoid third party claims and to prevent disputes between landlord and tenan</w:t>
      </w:r>
      <w:r w:rsidR="009C6C1C" w:rsidRPr="00724CF8">
        <w:rPr>
          <w:rFonts w:ascii="Avenir Book" w:hAnsi="Avenir Book"/>
          <w:sz w:val="21"/>
          <w:szCs w:val="21"/>
        </w:rPr>
        <w:t>t over a failure to comply with applicable</w:t>
      </w:r>
      <w:r w:rsidRPr="00724CF8">
        <w:rPr>
          <w:rFonts w:ascii="Avenir Book" w:hAnsi="Avenir Book"/>
          <w:sz w:val="21"/>
          <w:szCs w:val="21"/>
        </w:rPr>
        <w:t xml:space="preserve"> obligations</w:t>
      </w:r>
      <w:r w:rsidR="00EF6DCA" w:rsidRPr="00724CF8">
        <w:rPr>
          <w:rFonts w:ascii="Avenir Book" w:hAnsi="Avenir Book"/>
          <w:sz w:val="21"/>
          <w:szCs w:val="21"/>
        </w:rPr>
        <w:t>. Leases</w:t>
      </w:r>
      <w:r w:rsidR="004D7E9A" w:rsidRPr="00724CF8">
        <w:rPr>
          <w:rFonts w:ascii="Avenir Book" w:hAnsi="Avenir Book"/>
          <w:sz w:val="21"/>
          <w:szCs w:val="21"/>
        </w:rPr>
        <w:t xml:space="preserve"> first entered prior to the ADA’s enactment may not contain </w:t>
      </w:r>
      <w:r w:rsidRPr="00724CF8">
        <w:rPr>
          <w:rFonts w:ascii="Avenir Book" w:hAnsi="Avenir Book"/>
          <w:sz w:val="21"/>
          <w:szCs w:val="21"/>
        </w:rPr>
        <w:t>any</w:t>
      </w:r>
      <w:r w:rsidR="004D7E9A" w:rsidRPr="00724CF8">
        <w:rPr>
          <w:rFonts w:ascii="Avenir Book" w:hAnsi="Avenir Book"/>
          <w:sz w:val="21"/>
          <w:szCs w:val="21"/>
        </w:rPr>
        <w:t xml:space="preserve"> provisions </w:t>
      </w:r>
      <w:r w:rsidR="00890B90" w:rsidRPr="00724CF8">
        <w:rPr>
          <w:rFonts w:ascii="Avenir Book" w:hAnsi="Avenir Book"/>
          <w:sz w:val="21"/>
          <w:szCs w:val="21"/>
        </w:rPr>
        <w:t>addressing</w:t>
      </w:r>
      <w:r w:rsidR="004D7E9A" w:rsidRPr="00724CF8">
        <w:rPr>
          <w:rFonts w:ascii="Avenir Book" w:hAnsi="Avenir Book"/>
          <w:sz w:val="21"/>
          <w:szCs w:val="21"/>
        </w:rPr>
        <w:t xml:space="preserve"> the obliga</w:t>
      </w:r>
      <w:r w:rsidR="00890B90" w:rsidRPr="00724CF8">
        <w:rPr>
          <w:rFonts w:ascii="Avenir Book" w:hAnsi="Avenir Book"/>
          <w:sz w:val="21"/>
          <w:szCs w:val="21"/>
        </w:rPr>
        <w:t>tion to comply with access laws</w:t>
      </w:r>
      <w:r w:rsidR="00131EA5" w:rsidRPr="00724CF8">
        <w:rPr>
          <w:rFonts w:ascii="Avenir Book" w:hAnsi="Avenir Book"/>
          <w:sz w:val="21"/>
          <w:szCs w:val="21"/>
        </w:rPr>
        <w:t>. E</w:t>
      </w:r>
      <w:r w:rsidR="00EF6DCA" w:rsidRPr="00724CF8">
        <w:rPr>
          <w:rFonts w:ascii="Avenir Book" w:hAnsi="Avenir Book"/>
          <w:sz w:val="21"/>
          <w:szCs w:val="21"/>
        </w:rPr>
        <w:t>ven those leases first entered after the ADA’s enactment may fail to clearly and fully address who has the ability and the responsibility to ensure compliance with access laws.</w:t>
      </w:r>
    </w:p>
    <w:p w:rsidR="004D7E9A" w:rsidRPr="00724CF8" w:rsidRDefault="004D7E9A">
      <w:pPr>
        <w:rPr>
          <w:rFonts w:ascii="Avenir Book" w:hAnsi="Avenir Book"/>
          <w:sz w:val="21"/>
          <w:szCs w:val="21"/>
        </w:rPr>
      </w:pPr>
    </w:p>
    <w:p w:rsidR="00890B90" w:rsidRPr="00724CF8" w:rsidRDefault="00890B90" w:rsidP="00890B90">
      <w:pPr>
        <w:rPr>
          <w:rFonts w:ascii="Avenir Book" w:hAnsi="Avenir Book"/>
          <w:sz w:val="21"/>
          <w:szCs w:val="21"/>
        </w:rPr>
      </w:pPr>
      <w:r w:rsidRPr="00724CF8">
        <w:rPr>
          <w:rFonts w:ascii="Avenir Book" w:hAnsi="Avenir Book"/>
          <w:sz w:val="21"/>
          <w:szCs w:val="21"/>
        </w:rPr>
        <w:t>California law requires commercial property owner</w:t>
      </w:r>
      <w:r w:rsidR="009C6C1C" w:rsidRPr="00724CF8">
        <w:rPr>
          <w:rFonts w:ascii="Avenir Book" w:hAnsi="Avenir Book"/>
          <w:sz w:val="21"/>
          <w:szCs w:val="21"/>
        </w:rPr>
        <w:t>s</w:t>
      </w:r>
      <w:r w:rsidRPr="00724CF8">
        <w:rPr>
          <w:rFonts w:ascii="Avenir Book" w:hAnsi="Avenir Book"/>
          <w:sz w:val="21"/>
          <w:szCs w:val="21"/>
        </w:rPr>
        <w:t xml:space="preserve"> or lessor</w:t>
      </w:r>
      <w:r w:rsidR="009C6C1C" w:rsidRPr="00724CF8">
        <w:rPr>
          <w:rFonts w:ascii="Avenir Book" w:hAnsi="Avenir Book"/>
          <w:sz w:val="21"/>
          <w:szCs w:val="21"/>
        </w:rPr>
        <w:t>s</w:t>
      </w:r>
      <w:r w:rsidRPr="00724CF8">
        <w:rPr>
          <w:rFonts w:ascii="Avenir Book" w:hAnsi="Avenir Book"/>
          <w:sz w:val="21"/>
          <w:szCs w:val="21"/>
        </w:rPr>
        <w:t xml:space="preserve"> </w:t>
      </w:r>
      <w:r w:rsidR="009C6C1C" w:rsidRPr="00724CF8">
        <w:rPr>
          <w:rFonts w:ascii="Avenir Book" w:hAnsi="Avenir Book"/>
          <w:sz w:val="21"/>
          <w:szCs w:val="21"/>
        </w:rPr>
        <w:t>to</w:t>
      </w:r>
      <w:r w:rsidRPr="00724CF8">
        <w:rPr>
          <w:rFonts w:ascii="Avenir Book" w:hAnsi="Avenir Book"/>
          <w:sz w:val="21"/>
          <w:szCs w:val="21"/>
        </w:rPr>
        <w:t xml:space="preserve"> state on every lease form or rental agreement executed on or after July 1, 2013, whether the property being leased or rented has undergone inspection by a Certified Access Specialist (</w:t>
      </w:r>
      <w:proofErr w:type="spellStart"/>
      <w:r w:rsidRPr="00724CF8">
        <w:rPr>
          <w:rFonts w:ascii="Avenir Book" w:hAnsi="Avenir Book"/>
          <w:sz w:val="21"/>
          <w:szCs w:val="21"/>
        </w:rPr>
        <w:t>CASp</w:t>
      </w:r>
      <w:proofErr w:type="spellEnd"/>
      <w:r w:rsidRPr="00724CF8">
        <w:rPr>
          <w:rFonts w:ascii="Avenir Book" w:hAnsi="Avenir Book"/>
          <w:sz w:val="21"/>
          <w:szCs w:val="21"/>
        </w:rPr>
        <w:t>), and, if so, whether the</w:t>
      </w:r>
      <w:r w:rsidR="00235605">
        <w:rPr>
          <w:rFonts w:ascii="Avenir Book" w:hAnsi="Avenir Book"/>
          <w:sz w:val="21"/>
          <w:szCs w:val="21"/>
        </w:rPr>
        <w:t xml:space="preserve"> </w:t>
      </w:r>
      <w:r w:rsidRPr="00724CF8">
        <w:rPr>
          <w:rFonts w:ascii="Avenir Book" w:hAnsi="Avenir Book"/>
          <w:sz w:val="21"/>
          <w:szCs w:val="21"/>
        </w:rPr>
        <w:t xml:space="preserve">property has or has not been determined to meet all applicable construction-related accessibility standards pursuant to Civil Code section 55.53. (Cal. Civ. Code § 1938.) However, there is no form or required language for allocating access law responsibility, and leases allocate this responsibility in a myriad of ways. Both landlords and tenants should therefore ensure that they understand exactly what their own leases require, as well as understand what kind of obligations they </w:t>
      </w:r>
      <w:r w:rsidR="009C6C1C" w:rsidRPr="00724CF8">
        <w:rPr>
          <w:rFonts w:ascii="Avenir Book" w:hAnsi="Avenir Book"/>
          <w:sz w:val="21"/>
          <w:szCs w:val="21"/>
        </w:rPr>
        <w:t>have accepted</w:t>
      </w:r>
      <w:r w:rsidRPr="00724CF8">
        <w:rPr>
          <w:rFonts w:ascii="Avenir Book" w:hAnsi="Avenir Book"/>
          <w:sz w:val="21"/>
          <w:szCs w:val="21"/>
        </w:rPr>
        <w:t xml:space="preserve"> given the conditi</w:t>
      </w:r>
      <w:r w:rsidR="00C8799C" w:rsidRPr="00724CF8">
        <w:rPr>
          <w:rFonts w:ascii="Avenir Book" w:hAnsi="Avenir Book"/>
          <w:sz w:val="21"/>
          <w:szCs w:val="21"/>
        </w:rPr>
        <w:t>on and use of a particular facility</w:t>
      </w:r>
      <w:r w:rsidRPr="00724CF8">
        <w:rPr>
          <w:rFonts w:ascii="Avenir Book" w:hAnsi="Avenir Book"/>
          <w:sz w:val="21"/>
          <w:szCs w:val="21"/>
        </w:rPr>
        <w:t>.</w:t>
      </w:r>
    </w:p>
    <w:p w:rsidR="00890B90" w:rsidRPr="00724CF8" w:rsidRDefault="00890B90">
      <w:pPr>
        <w:rPr>
          <w:rFonts w:ascii="Avenir Book" w:hAnsi="Avenir Book"/>
          <w:sz w:val="21"/>
          <w:szCs w:val="21"/>
        </w:rPr>
      </w:pPr>
    </w:p>
    <w:p w:rsidR="00406A33" w:rsidRPr="00724CF8" w:rsidRDefault="00406A33" w:rsidP="00235605">
      <w:pPr>
        <w:tabs>
          <w:tab w:val="left" w:pos="627"/>
        </w:tabs>
        <w:rPr>
          <w:rFonts w:ascii="Avenir Book" w:hAnsi="Avenir Book"/>
          <w:smallCaps/>
          <w:sz w:val="21"/>
          <w:szCs w:val="21"/>
        </w:rPr>
      </w:pPr>
    </w:p>
    <w:p w:rsidR="00406A33" w:rsidRPr="007C25EB" w:rsidRDefault="007C25EB" w:rsidP="007C25EB">
      <w:pPr>
        <w:pStyle w:val="OutlineL1"/>
        <w:tabs>
          <w:tab w:val="clear" w:pos="720"/>
          <w:tab w:val="num" w:pos="360"/>
        </w:tabs>
        <w:rPr>
          <w:rFonts w:ascii="Avenir Book" w:hAnsi="Avenir Book"/>
          <w:b/>
          <w:sz w:val="21"/>
          <w:szCs w:val="21"/>
        </w:rPr>
      </w:pPr>
      <w:r w:rsidRPr="007C25EB">
        <w:rPr>
          <w:rFonts w:ascii="Avenir Book" w:hAnsi="Avenir Book"/>
          <w:b/>
          <w:sz w:val="21"/>
          <w:szCs w:val="21"/>
        </w:rPr>
        <w:t>PARKING, ACCESSIBLE ROUTES, AND PATHS OF TRAVEL – GETTING IN THE DOOR</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Perhaps the most common cause of third party lawsuits for access violations is the failure to provide compliant accessible parking and accessible routes. Common issues related to accessible parking and accessible routes are detailed below.</w:t>
      </w:r>
    </w:p>
    <w:p w:rsidR="00406A33" w:rsidRPr="00D960F9" w:rsidRDefault="00406A33"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Parking</w:t>
      </w:r>
    </w:p>
    <w:p w:rsidR="00406A33" w:rsidRPr="00724CF8" w:rsidRDefault="00406A33">
      <w:pPr>
        <w:rPr>
          <w:rFonts w:ascii="Avenir Book" w:hAnsi="Avenir Book"/>
          <w:sz w:val="21"/>
          <w:szCs w:val="21"/>
        </w:rPr>
      </w:pPr>
      <w:r w:rsidRPr="00724CF8">
        <w:rPr>
          <w:rFonts w:ascii="Avenir Book" w:hAnsi="Avenir Book"/>
          <w:sz w:val="21"/>
          <w:szCs w:val="21"/>
        </w:rPr>
        <w:t>Where public parking spaces are provided, they must comply with ADAAG section 208 and CBC section 11B-208. Generally, the number of parking spaces a public accommodation is required to provide may be calculated based on the following chart.</w:t>
      </w:r>
    </w:p>
    <w:p w:rsidR="00406A33" w:rsidRPr="00724CF8" w:rsidRDefault="00406A33">
      <w:pPr>
        <w:rPr>
          <w:rFonts w:ascii="Avenir Book" w:hAnsi="Avenir Book"/>
          <w:sz w:val="21"/>
          <w:szCs w:val="21"/>
        </w:rPr>
      </w:pPr>
    </w:p>
    <w:p w:rsidR="00406A33" w:rsidRPr="00D960F9" w:rsidRDefault="00406A33" w:rsidP="00406A33">
      <w:pPr>
        <w:jc w:val="center"/>
        <w:rPr>
          <w:rFonts w:ascii="Avenir Book" w:hAnsi="Avenir Book"/>
          <w:b/>
          <w:sz w:val="21"/>
          <w:szCs w:val="21"/>
        </w:rPr>
      </w:pPr>
      <w:r w:rsidRPr="00D960F9">
        <w:rPr>
          <w:rFonts w:ascii="Avenir Book" w:hAnsi="Avenir Book"/>
          <w:b/>
          <w:sz w:val="21"/>
          <w:szCs w:val="21"/>
        </w:rPr>
        <w:t>ADAAG Table 208.2 Parking Spaces</w:t>
      </w:r>
    </w:p>
    <w:p w:rsidR="00406A33" w:rsidRPr="00724CF8" w:rsidRDefault="00406A33" w:rsidP="00406A33">
      <w:pPr>
        <w:jc w:val="center"/>
        <w:rPr>
          <w:rFonts w:ascii="Avenir Book" w:hAnsi="Avenir Book"/>
          <w:sz w:val="21"/>
          <w:szCs w:val="21"/>
        </w:rPr>
      </w:pPr>
    </w:p>
    <w:tbl>
      <w:tblPr>
        <w:tblStyle w:val="TableGrid"/>
        <w:tblW w:w="0" w:type="auto"/>
        <w:tblLook w:val="04A0"/>
      </w:tblPr>
      <w:tblGrid>
        <w:gridCol w:w="4422"/>
        <w:gridCol w:w="4434"/>
      </w:tblGrid>
      <w:tr w:rsidR="00406A33" w:rsidRPr="00724CF8" w:rsidTr="00406A33">
        <w:tc>
          <w:tcPr>
            <w:tcW w:w="4788" w:type="dxa"/>
            <w:shd w:val="clear" w:color="auto" w:fill="9BBB59" w:themeFill="accent3"/>
          </w:tcPr>
          <w:p w:rsidR="00406A33" w:rsidRPr="00724CF8" w:rsidRDefault="00406A33" w:rsidP="00406A33">
            <w:pPr>
              <w:jc w:val="center"/>
              <w:rPr>
                <w:rFonts w:ascii="Avenir Book" w:hAnsi="Avenir Book"/>
                <w:sz w:val="21"/>
                <w:szCs w:val="21"/>
              </w:rPr>
            </w:pPr>
            <w:r w:rsidRPr="00724CF8">
              <w:rPr>
                <w:rFonts w:ascii="Avenir Book" w:hAnsi="Avenir Book"/>
                <w:sz w:val="21"/>
                <w:szCs w:val="21"/>
              </w:rPr>
              <w:t>Total Number of Parking Spaces Provided in Parking Facility</w:t>
            </w:r>
          </w:p>
        </w:tc>
        <w:tc>
          <w:tcPr>
            <w:tcW w:w="4788" w:type="dxa"/>
            <w:shd w:val="clear" w:color="auto" w:fill="9BBB59" w:themeFill="accent3"/>
          </w:tcPr>
          <w:p w:rsidR="00406A33" w:rsidRPr="00724CF8" w:rsidRDefault="00406A33" w:rsidP="00406A33">
            <w:pPr>
              <w:jc w:val="center"/>
              <w:rPr>
                <w:rFonts w:ascii="Avenir Book" w:hAnsi="Avenir Book"/>
                <w:sz w:val="21"/>
                <w:szCs w:val="21"/>
              </w:rPr>
            </w:pPr>
            <w:r w:rsidRPr="00724CF8">
              <w:rPr>
                <w:rFonts w:ascii="Avenir Book" w:hAnsi="Avenir Book"/>
                <w:sz w:val="21"/>
                <w:szCs w:val="21"/>
              </w:rPr>
              <w:t>Minimum Number of Required Accessible Parking Spaces</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1 to 25</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1</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26 to 50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2</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51 to 75</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3</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76 to 100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4</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101 to 150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5</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151 to 200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6</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201 to 300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7</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lastRenderedPageBreak/>
              <w:t>301 to 400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8</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401 to 500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9</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501 to 1000</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2 percent of total</w:t>
            </w:r>
          </w:p>
        </w:tc>
      </w:tr>
      <w:tr w:rsidR="00406A33" w:rsidRPr="00724CF8" w:rsidTr="00406A33">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1001 and over</w:t>
            </w:r>
          </w:p>
        </w:tc>
        <w:tc>
          <w:tcPr>
            <w:tcW w:w="4788" w:type="dxa"/>
          </w:tcPr>
          <w:p w:rsidR="00406A33" w:rsidRPr="00724CF8" w:rsidRDefault="00406A33" w:rsidP="00406A33">
            <w:pPr>
              <w:rPr>
                <w:rFonts w:ascii="Avenir Book" w:hAnsi="Avenir Book"/>
                <w:sz w:val="21"/>
                <w:szCs w:val="21"/>
              </w:rPr>
            </w:pPr>
            <w:r w:rsidRPr="00724CF8">
              <w:rPr>
                <w:rFonts w:ascii="Avenir Book" w:hAnsi="Avenir Book"/>
                <w:sz w:val="21"/>
                <w:szCs w:val="21"/>
              </w:rPr>
              <w:t>20, plus 1 for each 100, or fraction thereof, over 1000</w:t>
            </w:r>
          </w:p>
        </w:tc>
      </w:tr>
    </w:tbl>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In cases where six or fewer parking spaces are provided, the accessible space must be an accessible van parking space. (ADAAG 208.2.4; CBC 11B-208.2.4.) Accessible parking spaces that serve a particular building or facility must be located on the shortest accessible route from the parking to an accessible entrance. (ADAAG 208.3.1; CBC 11B-208.3.1.) Where parking serves more than one accessible entrance, accessible parking spaces must be dispersed and located on the shortest accessible route to the accessible entrances.  (Id.) And where parking facilities do not serve a particular building or facility, such as a parking garage, accessible parking spaces shall be located on the shortest accessible route to an accessible pedestrian entrance of the parking facility. (Id.)</w:t>
      </w:r>
    </w:p>
    <w:p w:rsidR="00406A33" w:rsidRPr="00724CF8" w:rsidRDefault="00406A33">
      <w:pPr>
        <w:rPr>
          <w:rFonts w:ascii="Avenir Book" w:hAnsi="Avenir Book"/>
          <w:sz w:val="21"/>
          <w:szCs w:val="21"/>
        </w:rPr>
      </w:pPr>
    </w:p>
    <w:p w:rsidR="00406A33" w:rsidRPr="00724CF8" w:rsidRDefault="00406A33" w:rsidP="00406A33">
      <w:pPr>
        <w:pStyle w:val="OutlineL1"/>
        <w:numPr>
          <w:ilvl w:val="0"/>
          <w:numId w:val="0"/>
        </w:numPr>
        <w:rPr>
          <w:rFonts w:ascii="Avenir Book" w:hAnsi="Avenir Book"/>
          <w:sz w:val="21"/>
          <w:szCs w:val="21"/>
        </w:rPr>
      </w:pPr>
      <w:r w:rsidRPr="00724CF8">
        <w:rPr>
          <w:rFonts w:ascii="Avenir Book" w:hAnsi="Avenir Book"/>
          <w:sz w:val="21"/>
          <w:szCs w:val="21"/>
        </w:rPr>
        <w:t>The specific technical requirements for accessible parking spaces are detailed in ADAAG Section 503 and CBC Section 11B-503. These requirements impose a myriad of obligations addressing the width of accessible parking spaces, the width and location of access aisles, slope requirements, vertical clearance requirements, striping and appearance requirements, and sign requirements.  These requirements are detailed and extensive, and as mentioned above, often lead to lawsuits for access violations. Accordingly, the ADAAG and CBC should be reviewed to determine the particular accessible parking compliance requirements for your operations.</w:t>
      </w:r>
    </w:p>
    <w:p w:rsidR="00406A33" w:rsidRPr="00D960F9" w:rsidRDefault="00406A33"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 xml:space="preserve">Accessible Routes </w:t>
      </w:r>
    </w:p>
    <w:p w:rsidR="00406A33" w:rsidRPr="00724CF8" w:rsidRDefault="00406A33">
      <w:pPr>
        <w:rPr>
          <w:rFonts w:ascii="Avenir Book" w:hAnsi="Avenir Book"/>
          <w:sz w:val="21"/>
          <w:szCs w:val="21"/>
        </w:rPr>
      </w:pPr>
      <w:r w:rsidRPr="00724CF8">
        <w:rPr>
          <w:rFonts w:ascii="Avenir Book" w:hAnsi="Avenir Book"/>
          <w:sz w:val="21"/>
          <w:szCs w:val="21"/>
        </w:rPr>
        <w:t>Subject only to specific exceptions defined in the applicable regulations, the general requirement is that at least one accessible route must be provided within a site from the accessible parking spaces and accessible passenger loading zones, public streets and sidewalks, and public transportation stops to the accessible building or facility entrance they serve. (ADAAG 206.2; CBC 11B-206.2.) When two or more arrival points serve the same accessible entrance or entrances, they all must be on accessible routes. (Id.)</w:t>
      </w:r>
    </w:p>
    <w:p w:rsidR="00406A33" w:rsidRPr="00724CF8" w:rsidRDefault="00406A33">
      <w:pPr>
        <w:rPr>
          <w:rFonts w:ascii="Avenir Book" w:hAnsi="Avenir Book"/>
          <w:sz w:val="21"/>
          <w:szCs w:val="21"/>
        </w:rPr>
      </w:pPr>
    </w:p>
    <w:p w:rsidR="00406A33" w:rsidRPr="00D960F9" w:rsidRDefault="00406A33" w:rsidP="00406A33">
      <w:pPr>
        <w:jc w:val="center"/>
        <w:rPr>
          <w:rFonts w:ascii="Avenir Book" w:hAnsi="Avenir Book"/>
          <w:b/>
          <w:sz w:val="21"/>
          <w:szCs w:val="21"/>
        </w:rPr>
      </w:pPr>
      <w:r w:rsidRPr="00D960F9">
        <w:rPr>
          <w:rFonts w:ascii="Avenir Book" w:hAnsi="Avenir Book"/>
          <w:b/>
          <w:sz w:val="21"/>
          <w:szCs w:val="21"/>
        </w:rPr>
        <w:t>ADAAG Figure 403.5.1 - Clear Width of an Accessible Route</w:t>
      </w:r>
    </w:p>
    <w:p w:rsidR="00406A33" w:rsidRPr="00235605" w:rsidRDefault="00406A33" w:rsidP="00406A33">
      <w:pPr>
        <w:rPr>
          <w:rFonts w:ascii="Avenir Book" w:hAnsi="Avenir Book"/>
          <w:sz w:val="20"/>
          <w:szCs w:val="20"/>
        </w:rPr>
      </w:pPr>
      <w:r w:rsidRPr="00235605">
        <w:rPr>
          <w:rFonts w:ascii="Avenir Book" w:hAnsi="Avenir Book"/>
          <w:sz w:val="20"/>
          <w:szCs w:val="20"/>
        </w:rPr>
        <w:t xml:space="preserve"> (available at http://www.ada.gov/regs2010/2010ADAStandards/2010ADAstandards.htm#c4)</w:t>
      </w:r>
    </w:p>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noProof/>
          <w:sz w:val="21"/>
          <w:szCs w:val="21"/>
        </w:rPr>
        <w:drawing>
          <wp:inline distT="0" distB="0" distL="0" distR="0">
            <wp:extent cx="4146550" cy="1657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allar\AppData\Local\Microsoft\Windows\Temporary Internet Files\Content.Outlook\UTVE1MWB\ADA-AB2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46550" cy="1657350"/>
                    </a:xfrm>
                    <a:prstGeom prst="rect">
                      <a:avLst/>
                    </a:prstGeom>
                    <a:noFill/>
                    <a:ln>
                      <a:noFill/>
                    </a:ln>
                  </pic:spPr>
                </pic:pic>
              </a:graphicData>
            </a:graphic>
          </wp:inline>
        </w:drawing>
      </w:r>
    </w:p>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Accessible routes consist of one or more of the following components: walking surfaces with a running slope not steeper than 1:20, doorways, ramps, curb ramps excluding the flared sides, elevators, and platform lifts. (ADAAG 402.2; CBC 11B-402.2.)  All components of an accessible route must comply with their applicable accessibility requirements. (Id.) The specific technical requirements for each component are provided in the following regulations:</w:t>
      </w:r>
    </w:p>
    <w:p w:rsidR="00406A33" w:rsidRPr="00724CF8" w:rsidRDefault="00406A33">
      <w:pPr>
        <w:rPr>
          <w:rFonts w:ascii="Avenir Book" w:hAnsi="Avenir Book"/>
          <w:sz w:val="21"/>
          <w:szCs w:val="21"/>
        </w:rPr>
      </w:pPr>
    </w:p>
    <w:tbl>
      <w:tblPr>
        <w:tblStyle w:val="TableGrid"/>
        <w:tblW w:w="0" w:type="auto"/>
        <w:tblLook w:val="04A0"/>
      </w:tblPr>
      <w:tblGrid>
        <w:gridCol w:w="4436"/>
        <w:gridCol w:w="4420"/>
      </w:tblGrid>
      <w:tr w:rsidR="00406A33" w:rsidRPr="00724CF8" w:rsidTr="00973B7C">
        <w:tc>
          <w:tcPr>
            <w:tcW w:w="4436" w:type="dxa"/>
            <w:shd w:val="clear" w:color="auto" w:fill="9BBB59" w:themeFill="accent3"/>
          </w:tcPr>
          <w:p w:rsidR="00406A33" w:rsidRPr="00724CF8" w:rsidRDefault="00406A33" w:rsidP="00406A33">
            <w:pPr>
              <w:jc w:val="center"/>
              <w:rPr>
                <w:rFonts w:ascii="Avenir Book" w:hAnsi="Avenir Book"/>
                <w:sz w:val="21"/>
                <w:szCs w:val="21"/>
              </w:rPr>
            </w:pPr>
            <w:r w:rsidRPr="00724CF8">
              <w:rPr>
                <w:rFonts w:ascii="Avenir Book" w:hAnsi="Avenir Book"/>
                <w:sz w:val="21"/>
                <w:szCs w:val="21"/>
              </w:rPr>
              <w:t>Component</w:t>
            </w:r>
          </w:p>
        </w:tc>
        <w:tc>
          <w:tcPr>
            <w:tcW w:w="4420" w:type="dxa"/>
            <w:shd w:val="clear" w:color="auto" w:fill="9BBB59" w:themeFill="accent3"/>
          </w:tcPr>
          <w:p w:rsidR="00406A33" w:rsidRPr="00724CF8" w:rsidRDefault="00406A33" w:rsidP="00406A33">
            <w:pPr>
              <w:jc w:val="center"/>
              <w:rPr>
                <w:rFonts w:ascii="Avenir Book" w:hAnsi="Avenir Book"/>
                <w:sz w:val="21"/>
                <w:szCs w:val="21"/>
              </w:rPr>
            </w:pPr>
            <w:r w:rsidRPr="00724CF8">
              <w:rPr>
                <w:rFonts w:ascii="Avenir Book" w:hAnsi="Avenir Book"/>
                <w:sz w:val="21"/>
                <w:szCs w:val="21"/>
              </w:rPr>
              <w:t>Applicable Regulations</w:t>
            </w:r>
          </w:p>
        </w:tc>
      </w:tr>
      <w:tr w:rsidR="00406A33" w:rsidRPr="00724CF8" w:rsidTr="00973B7C">
        <w:tc>
          <w:tcPr>
            <w:tcW w:w="4436" w:type="dxa"/>
          </w:tcPr>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lastRenderedPageBreak/>
              <w:t>Walking surfaces, including handrail requirements and passing spaces</w:t>
            </w:r>
            <w:r w:rsidRPr="00724CF8">
              <w:rPr>
                <w:rFonts w:ascii="Avenir Book" w:hAnsi="Avenir Book"/>
                <w:sz w:val="21"/>
                <w:szCs w:val="21"/>
              </w:rPr>
              <w:tab/>
            </w:r>
          </w:p>
          <w:p w:rsidR="00406A33" w:rsidRPr="00724CF8" w:rsidRDefault="00406A33">
            <w:pPr>
              <w:rPr>
                <w:rFonts w:ascii="Avenir Book" w:hAnsi="Avenir Book"/>
                <w:sz w:val="21"/>
                <w:szCs w:val="21"/>
              </w:rPr>
            </w:pPr>
          </w:p>
        </w:tc>
        <w:tc>
          <w:tcPr>
            <w:tcW w:w="4420" w:type="dxa"/>
          </w:tcPr>
          <w:p w:rsidR="00406A33" w:rsidRPr="00724CF8" w:rsidRDefault="00406A33">
            <w:pP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sz w:val="21"/>
                <w:szCs w:val="21"/>
              </w:rPr>
              <w:lastRenderedPageBreak/>
              <w:t>ADAAG 403; CBC 11B-403</w:t>
            </w:r>
          </w:p>
        </w:tc>
      </w:tr>
      <w:tr w:rsidR="00406A33" w:rsidRPr="00724CF8" w:rsidTr="00973B7C">
        <w:tc>
          <w:tcPr>
            <w:tcW w:w="4436" w:type="dxa"/>
          </w:tcPr>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Doorways, including thresholds, door pressure, and maneuvering clearance requirements</w:t>
            </w:r>
          </w:p>
          <w:p w:rsidR="00406A33" w:rsidRPr="00724CF8" w:rsidRDefault="00406A33">
            <w:pPr>
              <w:rPr>
                <w:rFonts w:ascii="Avenir Book" w:hAnsi="Avenir Book"/>
                <w:sz w:val="21"/>
                <w:szCs w:val="21"/>
              </w:rPr>
            </w:pPr>
          </w:p>
        </w:tc>
        <w:tc>
          <w:tcPr>
            <w:tcW w:w="4420" w:type="dxa"/>
          </w:tcPr>
          <w:p w:rsidR="00406A33" w:rsidRPr="00724CF8" w:rsidRDefault="00406A33" w:rsidP="00406A33">
            <w:pPr>
              <w:jc w:val="cente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sz w:val="21"/>
                <w:szCs w:val="21"/>
              </w:rPr>
              <w:t>ADAAG 404; CBC 11B-404</w:t>
            </w:r>
          </w:p>
        </w:tc>
      </w:tr>
    </w:tbl>
    <w:p w:rsidR="00973B7C" w:rsidRDefault="00973B7C"/>
    <w:tbl>
      <w:tblPr>
        <w:tblStyle w:val="TableGrid"/>
        <w:tblW w:w="0" w:type="auto"/>
        <w:tblLook w:val="04A0"/>
      </w:tblPr>
      <w:tblGrid>
        <w:gridCol w:w="4436"/>
        <w:gridCol w:w="4420"/>
      </w:tblGrid>
      <w:tr w:rsidR="00973B7C" w:rsidRPr="00724CF8" w:rsidTr="0095412A">
        <w:tc>
          <w:tcPr>
            <w:tcW w:w="4436" w:type="dxa"/>
            <w:shd w:val="clear" w:color="auto" w:fill="9BBB59" w:themeFill="accent3"/>
          </w:tcPr>
          <w:p w:rsidR="00973B7C" w:rsidRPr="00724CF8" w:rsidRDefault="00973B7C" w:rsidP="0095412A">
            <w:pPr>
              <w:jc w:val="center"/>
              <w:rPr>
                <w:rFonts w:ascii="Avenir Book" w:hAnsi="Avenir Book"/>
                <w:sz w:val="21"/>
                <w:szCs w:val="21"/>
              </w:rPr>
            </w:pPr>
            <w:r w:rsidRPr="00724CF8">
              <w:rPr>
                <w:rFonts w:ascii="Avenir Book" w:hAnsi="Avenir Book"/>
                <w:sz w:val="21"/>
                <w:szCs w:val="21"/>
              </w:rPr>
              <w:t>Component</w:t>
            </w:r>
          </w:p>
        </w:tc>
        <w:tc>
          <w:tcPr>
            <w:tcW w:w="4420" w:type="dxa"/>
            <w:shd w:val="clear" w:color="auto" w:fill="9BBB59" w:themeFill="accent3"/>
          </w:tcPr>
          <w:p w:rsidR="00973B7C" w:rsidRPr="00724CF8" w:rsidRDefault="00973B7C" w:rsidP="0095412A">
            <w:pPr>
              <w:jc w:val="center"/>
              <w:rPr>
                <w:rFonts w:ascii="Avenir Book" w:hAnsi="Avenir Book"/>
                <w:sz w:val="21"/>
                <w:szCs w:val="21"/>
              </w:rPr>
            </w:pPr>
            <w:r w:rsidRPr="00724CF8">
              <w:rPr>
                <w:rFonts w:ascii="Avenir Book" w:hAnsi="Avenir Book"/>
                <w:sz w:val="21"/>
                <w:szCs w:val="21"/>
              </w:rPr>
              <w:t>Applicable Regulations</w:t>
            </w:r>
          </w:p>
        </w:tc>
      </w:tr>
      <w:tr w:rsidR="00406A33" w:rsidRPr="00724CF8" w:rsidTr="00973B7C">
        <w:tc>
          <w:tcPr>
            <w:tcW w:w="4436" w:type="dxa"/>
          </w:tcPr>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Ramps, including slopes and landings</w:t>
            </w:r>
          </w:p>
        </w:tc>
        <w:tc>
          <w:tcPr>
            <w:tcW w:w="4420" w:type="dxa"/>
          </w:tcPr>
          <w:p w:rsidR="00406A33" w:rsidRPr="00724CF8" w:rsidRDefault="00406A33" w:rsidP="00406A33">
            <w:pPr>
              <w:jc w:val="cente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sz w:val="21"/>
                <w:szCs w:val="21"/>
              </w:rPr>
              <w:t>ADAAG 405; CBC 11B-405</w:t>
            </w:r>
          </w:p>
          <w:p w:rsidR="00406A33" w:rsidRPr="00724CF8" w:rsidRDefault="00406A33" w:rsidP="00406A33">
            <w:pPr>
              <w:jc w:val="center"/>
              <w:rPr>
                <w:rFonts w:ascii="Avenir Book" w:hAnsi="Avenir Book"/>
                <w:sz w:val="21"/>
                <w:szCs w:val="21"/>
              </w:rPr>
            </w:pPr>
          </w:p>
        </w:tc>
      </w:tr>
      <w:tr w:rsidR="00406A33" w:rsidRPr="00724CF8" w:rsidTr="00973B7C">
        <w:tc>
          <w:tcPr>
            <w:tcW w:w="4436" w:type="dxa"/>
          </w:tcPr>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 xml:space="preserve">Curb ramps </w:t>
            </w:r>
            <w:r w:rsidRPr="00724CF8">
              <w:rPr>
                <w:rFonts w:ascii="Avenir Book" w:hAnsi="Avenir Book"/>
                <w:sz w:val="21"/>
                <w:szCs w:val="21"/>
              </w:rPr>
              <w:tab/>
            </w:r>
          </w:p>
          <w:p w:rsidR="00406A33" w:rsidRPr="00724CF8" w:rsidRDefault="00406A33">
            <w:pPr>
              <w:rPr>
                <w:rFonts w:ascii="Avenir Book" w:hAnsi="Avenir Book"/>
                <w:sz w:val="21"/>
                <w:szCs w:val="21"/>
              </w:rPr>
            </w:pPr>
          </w:p>
        </w:tc>
        <w:tc>
          <w:tcPr>
            <w:tcW w:w="4420" w:type="dxa"/>
          </w:tcPr>
          <w:p w:rsidR="00406A33" w:rsidRPr="00724CF8" w:rsidRDefault="00406A33" w:rsidP="00406A33">
            <w:pPr>
              <w:jc w:val="cente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sz w:val="21"/>
                <w:szCs w:val="21"/>
              </w:rPr>
              <w:t>ADAAG 406; CBC 11B-406</w:t>
            </w:r>
          </w:p>
        </w:tc>
      </w:tr>
      <w:tr w:rsidR="00406A33" w:rsidRPr="00724CF8" w:rsidTr="00973B7C">
        <w:tc>
          <w:tcPr>
            <w:tcW w:w="4436" w:type="dxa"/>
          </w:tcPr>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Elevators</w:t>
            </w:r>
          </w:p>
          <w:p w:rsidR="00406A33" w:rsidRPr="00724CF8" w:rsidRDefault="00406A33">
            <w:pPr>
              <w:rPr>
                <w:rFonts w:ascii="Avenir Book" w:hAnsi="Avenir Book"/>
                <w:sz w:val="21"/>
                <w:szCs w:val="21"/>
              </w:rPr>
            </w:pPr>
          </w:p>
        </w:tc>
        <w:tc>
          <w:tcPr>
            <w:tcW w:w="4420" w:type="dxa"/>
          </w:tcPr>
          <w:p w:rsidR="00406A33" w:rsidRPr="00724CF8" w:rsidRDefault="00406A33" w:rsidP="00406A33">
            <w:pPr>
              <w:jc w:val="cente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sz w:val="21"/>
                <w:szCs w:val="21"/>
              </w:rPr>
              <w:t>ADAAG 407-08; CBC 11B-407-11B-408</w:t>
            </w:r>
          </w:p>
        </w:tc>
      </w:tr>
      <w:tr w:rsidR="00406A33" w:rsidRPr="00724CF8" w:rsidTr="00973B7C">
        <w:tc>
          <w:tcPr>
            <w:tcW w:w="4436" w:type="dxa"/>
          </w:tcPr>
          <w:p w:rsidR="00406A33" w:rsidRPr="00724CF8" w:rsidRDefault="00406A33" w:rsidP="00406A33">
            <w:pPr>
              <w:rPr>
                <w:rFonts w:ascii="Avenir Book" w:hAnsi="Avenir Book"/>
                <w:sz w:val="21"/>
                <w:szCs w:val="21"/>
              </w:rPr>
            </w:pPr>
          </w:p>
          <w:p w:rsidR="00406A33" w:rsidRPr="00724CF8" w:rsidRDefault="00406A33" w:rsidP="00406A33">
            <w:pPr>
              <w:rPr>
                <w:rFonts w:ascii="Avenir Book" w:hAnsi="Avenir Book"/>
                <w:sz w:val="21"/>
                <w:szCs w:val="21"/>
              </w:rPr>
            </w:pPr>
            <w:r w:rsidRPr="00724CF8">
              <w:rPr>
                <w:rFonts w:ascii="Avenir Book" w:hAnsi="Avenir Book"/>
                <w:sz w:val="21"/>
                <w:szCs w:val="21"/>
              </w:rPr>
              <w:t>Platform lifts</w:t>
            </w:r>
          </w:p>
          <w:p w:rsidR="00406A33" w:rsidRPr="00724CF8" w:rsidRDefault="00406A33" w:rsidP="00406A33">
            <w:pPr>
              <w:rPr>
                <w:rFonts w:ascii="Avenir Book" w:hAnsi="Avenir Book"/>
                <w:sz w:val="21"/>
                <w:szCs w:val="21"/>
              </w:rPr>
            </w:pPr>
          </w:p>
        </w:tc>
        <w:tc>
          <w:tcPr>
            <w:tcW w:w="4420" w:type="dxa"/>
          </w:tcPr>
          <w:p w:rsidR="00406A33" w:rsidRPr="00724CF8" w:rsidRDefault="00406A33" w:rsidP="00406A33">
            <w:pPr>
              <w:jc w:val="cente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sz w:val="21"/>
                <w:szCs w:val="21"/>
              </w:rPr>
              <w:t>ADAAG 410; CBC 11B-410</w:t>
            </w:r>
          </w:p>
        </w:tc>
      </w:tr>
    </w:tbl>
    <w:p w:rsidR="00406A33" w:rsidRPr="00724CF8" w:rsidRDefault="00406A33">
      <w:pPr>
        <w:rPr>
          <w:rFonts w:ascii="Avenir Book" w:hAnsi="Avenir Book"/>
          <w:sz w:val="21"/>
          <w:szCs w:val="21"/>
        </w:rPr>
      </w:pPr>
    </w:p>
    <w:p w:rsidR="00406A33" w:rsidRPr="00D960F9" w:rsidRDefault="00406A33" w:rsidP="007C25EB">
      <w:pPr>
        <w:pStyle w:val="OutlineL2"/>
        <w:tabs>
          <w:tab w:val="clear" w:pos="1440"/>
          <w:tab w:val="num" w:pos="1080"/>
        </w:tabs>
        <w:rPr>
          <w:rFonts w:ascii="Avenir Book" w:hAnsi="Avenir Book"/>
          <w:b/>
          <w:sz w:val="21"/>
          <w:szCs w:val="21"/>
        </w:rPr>
      </w:pPr>
      <w:r w:rsidRPr="00D960F9">
        <w:rPr>
          <w:rFonts w:ascii="Avenir Book" w:hAnsi="Avenir Book"/>
          <w:b/>
          <w:sz w:val="21"/>
          <w:szCs w:val="21"/>
        </w:rPr>
        <w:t>Alterations and Paths of Travel</w:t>
      </w:r>
    </w:p>
    <w:p w:rsidR="00406A33" w:rsidRPr="00724CF8" w:rsidRDefault="00406A33" w:rsidP="00235605">
      <w:pPr>
        <w:pStyle w:val="OutlineL1"/>
        <w:numPr>
          <w:ilvl w:val="0"/>
          <w:numId w:val="0"/>
        </w:numPr>
        <w:rPr>
          <w:rFonts w:ascii="Avenir Book" w:hAnsi="Avenir Book"/>
          <w:sz w:val="21"/>
          <w:szCs w:val="21"/>
        </w:rPr>
      </w:pPr>
      <w:r w:rsidRPr="00724CF8">
        <w:rPr>
          <w:rFonts w:ascii="Avenir Book" w:hAnsi="Avenir Book"/>
          <w:sz w:val="21"/>
          <w:szCs w:val="21"/>
        </w:rPr>
        <w:t>A “path of travel” includes a continuous, unobstructed way of pedestrian passage by means of which the altered area may be approached, entered, and exited, and which connects the altered area with an exterior approach (including sidewalks, streets, and parking areas), an entrance to the facility, and other parts of the facility.  (28 C.F.R. § 36.403 (e)(1).) An accessible path of travel may consist of walks and sidewalks, curb ramps and other interior or exterior pedestrian ramps; clear floor paths through lobbies, corridors, rooms, and other improved areas; parking access aisles; elevators and lifts; or a combination of these elements. (28 C.F.R. § 36.403 (e)(2).) The term “path of travel” also includes the restrooms, telephones, and drinking fountains serving an altered area. (28 C.F.R. § 36.403(e)(3).) The CBC also confirms that the path of travel includes signs. (CBC 11B-202.4.)</w:t>
      </w:r>
    </w:p>
    <w:p w:rsidR="00406A33" w:rsidRPr="00724CF8" w:rsidRDefault="00406A33" w:rsidP="00235605">
      <w:pPr>
        <w:pStyle w:val="OutlineL1"/>
        <w:numPr>
          <w:ilvl w:val="0"/>
          <w:numId w:val="0"/>
        </w:numPr>
        <w:rPr>
          <w:rFonts w:ascii="Avenir Book" w:hAnsi="Avenir Book"/>
          <w:sz w:val="21"/>
          <w:szCs w:val="21"/>
        </w:rPr>
      </w:pPr>
      <w:r w:rsidRPr="00724CF8">
        <w:rPr>
          <w:rFonts w:ascii="Avenir Book" w:hAnsi="Avenir Book"/>
          <w:sz w:val="21"/>
          <w:szCs w:val="21"/>
        </w:rPr>
        <w:t xml:space="preserve">Any alteration that affects or could affect the usability of or access to an area of a facility that contains a primary function must be made so as to ensure that, to the maximum extent feasible, the path of travel to the altered area and the restrooms, telephones, and drinking fountains serving the altered area, are readily accessible to and usable by individuals with disabilities, including individuals who use wheelchairs, unless the cost and scope of such alterations is disproportionate to the cost of the overall alteration. (28 C.F.R. § 36.403(a)(1).) </w:t>
      </w:r>
    </w:p>
    <w:p w:rsidR="00406A33" w:rsidRPr="00724CF8" w:rsidRDefault="00406A33" w:rsidP="00235605">
      <w:pPr>
        <w:pStyle w:val="OutlineL1"/>
        <w:numPr>
          <w:ilvl w:val="0"/>
          <w:numId w:val="0"/>
        </w:numPr>
        <w:rPr>
          <w:rFonts w:ascii="Avenir Book" w:hAnsi="Avenir Book"/>
          <w:sz w:val="21"/>
          <w:szCs w:val="21"/>
        </w:rPr>
      </w:pPr>
      <w:r w:rsidRPr="00724CF8">
        <w:rPr>
          <w:rFonts w:ascii="Avenir Book" w:hAnsi="Avenir Book"/>
          <w:sz w:val="21"/>
          <w:szCs w:val="21"/>
        </w:rPr>
        <w:t xml:space="preserve">As an example, in the case of a grocery store, remodeling merchandise display areas would constitute a qualifying alteration, but altering windows, hardware, outlets, or signage would not. (28 C.F.R. § 36.403(c)(1)-(2).) This obligation will also not trigger solely because of an alteration to a primary function area served by a path of travel if the private entity has already </w:t>
      </w:r>
      <w:r w:rsidRPr="00724CF8">
        <w:rPr>
          <w:rFonts w:ascii="Avenir Book" w:hAnsi="Avenir Book"/>
          <w:sz w:val="21"/>
          <w:szCs w:val="21"/>
        </w:rPr>
        <w:lastRenderedPageBreak/>
        <w:t>constructed or altered required elements in accordance with the 1991 ADA Standards. (28 C.F.R. § 36.403(a)(2); CBC 11B-202.4.) In a number of cases, additions or alterations made to meet accessibility requirements will not trigger the path of travel obligation either. The qualifying alterations and additions are detailed in CBC 11B-202.4, Exceptions 3 and 4.</w:t>
      </w:r>
    </w:p>
    <w:p w:rsidR="00406A33" w:rsidRPr="00724CF8" w:rsidRDefault="00406A33" w:rsidP="00235605">
      <w:pPr>
        <w:spacing w:after="240"/>
        <w:rPr>
          <w:rFonts w:ascii="Avenir Book" w:hAnsi="Avenir Book"/>
          <w:sz w:val="21"/>
          <w:szCs w:val="21"/>
        </w:rPr>
      </w:pPr>
      <w:r w:rsidRPr="00724CF8">
        <w:rPr>
          <w:rFonts w:ascii="Avenir Book" w:hAnsi="Avenir Book"/>
          <w:sz w:val="21"/>
          <w:szCs w:val="21"/>
        </w:rPr>
        <w:t>The overall cost of expenditures required to provide an accessible path of travel cost is disproportionate when it exceeds 20% of the cost of the alteration to the primary function area. (28 C.F.R. § 36.403(f)(1).)  In such cases, the cost to comply with path of travel requirements shall be limited to 20 percent of the cost of the alteration, and the path of travel shall be made accessible to the extent possible in keeping with the following decreasing order of priority:</w:t>
      </w:r>
    </w:p>
    <w:p w:rsidR="00406A33" w:rsidRPr="00724CF8" w:rsidRDefault="00406A33" w:rsidP="00406A33">
      <w:pPr>
        <w:pStyle w:val="ListParagraph"/>
        <w:numPr>
          <w:ilvl w:val="0"/>
          <w:numId w:val="25"/>
        </w:numPr>
        <w:rPr>
          <w:rFonts w:ascii="Avenir Book" w:hAnsi="Avenir Book"/>
          <w:sz w:val="21"/>
          <w:szCs w:val="21"/>
        </w:rPr>
      </w:pPr>
      <w:r w:rsidRPr="00724CF8">
        <w:rPr>
          <w:rFonts w:ascii="Avenir Book" w:hAnsi="Avenir Book"/>
          <w:sz w:val="21"/>
          <w:szCs w:val="21"/>
        </w:rPr>
        <w:t xml:space="preserve">An accessible entrance; </w:t>
      </w:r>
    </w:p>
    <w:p w:rsidR="00406A33" w:rsidRPr="00724CF8" w:rsidRDefault="00406A33" w:rsidP="00406A33">
      <w:pPr>
        <w:pStyle w:val="ListParagraph"/>
        <w:numPr>
          <w:ilvl w:val="0"/>
          <w:numId w:val="25"/>
        </w:numPr>
        <w:rPr>
          <w:rFonts w:ascii="Avenir Book" w:hAnsi="Avenir Book"/>
          <w:sz w:val="21"/>
          <w:szCs w:val="21"/>
        </w:rPr>
      </w:pPr>
      <w:r w:rsidRPr="00724CF8">
        <w:rPr>
          <w:rFonts w:ascii="Avenir Book" w:hAnsi="Avenir Book"/>
          <w:sz w:val="21"/>
          <w:szCs w:val="21"/>
        </w:rPr>
        <w:t xml:space="preserve">An accessible route to the altered area; </w:t>
      </w:r>
    </w:p>
    <w:p w:rsidR="00406A33" w:rsidRPr="00724CF8" w:rsidRDefault="00406A33" w:rsidP="00406A33">
      <w:pPr>
        <w:pStyle w:val="ListParagraph"/>
        <w:numPr>
          <w:ilvl w:val="0"/>
          <w:numId w:val="25"/>
        </w:numPr>
        <w:rPr>
          <w:rFonts w:ascii="Avenir Book" w:hAnsi="Avenir Book"/>
          <w:sz w:val="21"/>
          <w:szCs w:val="21"/>
        </w:rPr>
      </w:pPr>
      <w:r w:rsidRPr="00724CF8">
        <w:rPr>
          <w:rFonts w:ascii="Avenir Book" w:hAnsi="Avenir Book"/>
          <w:sz w:val="21"/>
          <w:szCs w:val="21"/>
        </w:rPr>
        <w:t xml:space="preserve">At least one accessible restroom for each sex or a single unisex restroom; </w:t>
      </w:r>
    </w:p>
    <w:p w:rsidR="00406A33" w:rsidRPr="00724CF8" w:rsidRDefault="00406A33" w:rsidP="00406A33">
      <w:pPr>
        <w:pStyle w:val="ListParagraph"/>
        <w:numPr>
          <w:ilvl w:val="0"/>
          <w:numId w:val="25"/>
        </w:numPr>
        <w:rPr>
          <w:rFonts w:ascii="Avenir Book" w:hAnsi="Avenir Book"/>
          <w:sz w:val="21"/>
          <w:szCs w:val="21"/>
        </w:rPr>
      </w:pPr>
      <w:r w:rsidRPr="00724CF8">
        <w:rPr>
          <w:rFonts w:ascii="Avenir Book" w:hAnsi="Avenir Book"/>
          <w:sz w:val="21"/>
          <w:szCs w:val="21"/>
        </w:rPr>
        <w:t xml:space="preserve">Accessible telephones; </w:t>
      </w:r>
    </w:p>
    <w:p w:rsidR="00406A33" w:rsidRPr="00724CF8" w:rsidRDefault="00406A33" w:rsidP="00406A33">
      <w:pPr>
        <w:pStyle w:val="ListParagraph"/>
        <w:numPr>
          <w:ilvl w:val="0"/>
          <w:numId w:val="25"/>
        </w:numPr>
        <w:rPr>
          <w:rFonts w:ascii="Avenir Book" w:hAnsi="Avenir Book"/>
          <w:sz w:val="21"/>
          <w:szCs w:val="21"/>
        </w:rPr>
      </w:pPr>
      <w:r w:rsidRPr="00724CF8">
        <w:rPr>
          <w:rFonts w:ascii="Avenir Book" w:hAnsi="Avenir Book"/>
          <w:sz w:val="21"/>
          <w:szCs w:val="21"/>
        </w:rPr>
        <w:t xml:space="preserve">Accessible drinking fountains; and </w:t>
      </w:r>
    </w:p>
    <w:p w:rsidR="00406A33" w:rsidRPr="00724CF8" w:rsidRDefault="00406A33" w:rsidP="00406A33">
      <w:pPr>
        <w:pStyle w:val="ListParagraph"/>
        <w:numPr>
          <w:ilvl w:val="0"/>
          <w:numId w:val="25"/>
        </w:numPr>
        <w:rPr>
          <w:rFonts w:ascii="Avenir Book" w:hAnsi="Avenir Book"/>
          <w:sz w:val="21"/>
          <w:szCs w:val="21"/>
        </w:rPr>
      </w:pPr>
      <w:r w:rsidRPr="00724CF8">
        <w:rPr>
          <w:rFonts w:ascii="Avenir Book" w:hAnsi="Avenir Book"/>
          <w:sz w:val="21"/>
          <w:szCs w:val="21"/>
        </w:rPr>
        <w:t xml:space="preserve">When possible, additional accessible elements such as parking, storage, and alarms. </w:t>
      </w:r>
    </w:p>
    <w:p w:rsidR="00406A33" w:rsidRPr="00724CF8" w:rsidRDefault="00406A33" w:rsidP="000273E1">
      <w:pPr>
        <w:rPr>
          <w:rFonts w:ascii="Avenir Book" w:hAnsi="Avenir Book"/>
          <w:sz w:val="21"/>
          <w:szCs w:val="21"/>
        </w:rPr>
      </w:pPr>
    </w:p>
    <w:p w:rsidR="00406A33" w:rsidRPr="00724CF8" w:rsidRDefault="00406A33" w:rsidP="000273E1">
      <w:pPr>
        <w:rPr>
          <w:rFonts w:ascii="Avenir Book" w:hAnsi="Avenir Book"/>
          <w:sz w:val="21"/>
          <w:szCs w:val="21"/>
        </w:rPr>
      </w:pPr>
      <w:r w:rsidRPr="00724CF8">
        <w:rPr>
          <w:rFonts w:ascii="Avenir Book" w:hAnsi="Avenir Book"/>
          <w:sz w:val="21"/>
          <w:szCs w:val="21"/>
        </w:rPr>
        <w:t xml:space="preserve">(28 C.F.R. § 36.403(g)(1)-(2); CBC 11B-202.4, Exception 8.)  Additional requirements related the calculation of disproportionality, including which alterations shall be considered in determining whether the cost is disproportionate, are detailed in the regulations. </w:t>
      </w:r>
    </w:p>
    <w:p w:rsidR="00406A33" w:rsidRPr="00724CF8" w:rsidRDefault="00406A33" w:rsidP="000273E1">
      <w:pPr>
        <w:rPr>
          <w:rFonts w:ascii="Avenir Book" w:hAnsi="Avenir Book"/>
          <w:sz w:val="21"/>
          <w:szCs w:val="21"/>
        </w:rPr>
      </w:pPr>
    </w:p>
    <w:p w:rsidR="00406A33" w:rsidRPr="00724CF8" w:rsidRDefault="00406A33" w:rsidP="000273E1">
      <w:pPr>
        <w:rPr>
          <w:rFonts w:ascii="Avenir Book" w:hAnsi="Avenir Book"/>
          <w:sz w:val="21"/>
          <w:szCs w:val="21"/>
        </w:rPr>
      </w:pPr>
      <w:r w:rsidRPr="00724CF8">
        <w:rPr>
          <w:rFonts w:ascii="Avenir Book" w:hAnsi="Avenir Book"/>
          <w:sz w:val="21"/>
          <w:szCs w:val="21"/>
        </w:rPr>
        <w:t xml:space="preserve"> </w:t>
      </w:r>
    </w:p>
    <w:p w:rsidR="00406A33" w:rsidRPr="00724CF8" w:rsidRDefault="00406A33" w:rsidP="000273E1">
      <w:pPr>
        <w:rPr>
          <w:rFonts w:ascii="Avenir Book" w:hAnsi="Avenir Book"/>
          <w:sz w:val="21"/>
          <w:szCs w:val="21"/>
        </w:rPr>
      </w:pPr>
    </w:p>
    <w:p w:rsidR="00406A33" w:rsidRPr="00724CF8" w:rsidRDefault="00406A33" w:rsidP="00396FC6">
      <w:pPr>
        <w:jc w:val="center"/>
        <w:rPr>
          <w:rFonts w:ascii="Avenir Book" w:hAnsi="Avenir Book"/>
          <w:sz w:val="21"/>
          <w:szCs w:val="21"/>
        </w:rPr>
      </w:pPr>
    </w:p>
    <w:p w:rsidR="00406A33" w:rsidRPr="00724CF8" w:rsidRDefault="00406A33" w:rsidP="00396FC6">
      <w:pPr>
        <w:jc w:val="center"/>
        <w:rPr>
          <w:rFonts w:ascii="Avenir Book" w:hAnsi="Avenir Book"/>
          <w:sz w:val="21"/>
          <w:szCs w:val="21"/>
        </w:rPr>
      </w:pPr>
    </w:p>
    <w:p w:rsidR="00406A33" w:rsidRPr="00724CF8" w:rsidRDefault="00406A33">
      <w:pPr>
        <w:spacing w:after="200" w:line="276" w:lineRule="auto"/>
        <w:rPr>
          <w:rFonts w:ascii="Avenir Book" w:hAnsi="Avenir Book"/>
          <w:sz w:val="21"/>
          <w:szCs w:val="21"/>
        </w:rPr>
      </w:pPr>
      <w:r w:rsidRPr="00724CF8">
        <w:rPr>
          <w:rFonts w:ascii="Avenir Book" w:hAnsi="Avenir Book"/>
          <w:sz w:val="21"/>
          <w:szCs w:val="21"/>
        </w:rPr>
        <w:br w:type="page"/>
      </w:r>
    </w:p>
    <w:p w:rsidR="00406A33" w:rsidRPr="00D245AC" w:rsidRDefault="00D245AC" w:rsidP="00D245AC">
      <w:pPr>
        <w:pStyle w:val="OutlineL1"/>
        <w:tabs>
          <w:tab w:val="clear" w:pos="720"/>
          <w:tab w:val="num" w:pos="360"/>
        </w:tabs>
        <w:rPr>
          <w:rFonts w:ascii="Avenir Book" w:hAnsi="Avenir Book"/>
          <w:b/>
          <w:sz w:val="21"/>
          <w:szCs w:val="21"/>
        </w:rPr>
      </w:pPr>
      <w:r w:rsidRPr="00D245AC">
        <w:rPr>
          <w:rFonts w:ascii="Avenir Book" w:hAnsi="Avenir Book"/>
          <w:b/>
          <w:sz w:val="21"/>
          <w:szCs w:val="21"/>
        </w:rPr>
        <w:lastRenderedPageBreak/>
        <w:t>ACCESSIBLE SIGNS</w:t>
      </w:r>
    </w:p>
    <w:p w:rsidR="00406A33" w:rsidRPr="00D960F9" w:rsidRDefault="00406A33" w:rsidP="00673D5F">
      <w:pPr>
        <w:pStyle w:val="OutlineL1"/>
        <w:numPr>
          <w:ilvl w:val="0"/>
          <w:numId w:val="0"/>
        </w:numPr>
        <w:jc w:val="center"/>
        <w:rPr>
          <w:rFonts w:ascii="Avenir Book" w:hAnsi="Avenir Book"/>
          <w:b/>
          <w:sz w:val="21"/>
          <w:szCs w:val="21"/>
        </w:rPr>
      </w:pPr>
      <w:r w:rsidRPr="00D960F9">
        <w:rPr>
          <w:rFonts w:ascii="Avenir Book" w:hAnsi="Avenir Book"/>
          <w:b/>
          <w:sz w:val="21"/>
          <w:szCs w:val="21"/>
        </w:rPr>
        <w:t>ADAAG Figure 703.7.2.1 International Symbol of Accessibility</w:t>
      </w:r>
    </w:p>
    <w:p w:rsidR="00406A33" w:rsidRPr="00724CF8" w:rsidRDefault="00406A33" w:rsidP="00673D5F">
      <w:pPr>
        <w:pStyle w:val="OutlineL1"/>
        <w:numPr>
          <w:ilvl w:val="0"/>
          <w:numId w:val="0"/>
        </w:numPr>
        <w:jc w:val="center"/>
        <w:rPr>
          <w:rFonts w:ascii="Avenir Book" w:hAnsi="Avenir Book"/>
          <w:sz w:val="21"/>
          <w:szCs w:val="21"/>
        </w:rPr>
      </w:pPr>
      <w:r w:rsidRPr="00724CF8">
        <w:rPr>
          <w:rFonts w:ascii="Avenir Book" w:hAnsi="Avenir Book"/>
          <w:noProof/>
          <w:sz w:val="21"/>
          <w:szCs w:val="21"/>
        </w:rPr>
        <w:drawing>
          <wp:inline distT="0" distB="0" distL="0" distR="0">
            <wp:extent cx="2546350" cy="2211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6350" cy="2211070"/>
                    </a:xfrm>
                    <a:prstGeom prst="rect">
                      <a:avLst/>
                    </a:prstGeom>
                    <a:noFill/>
                    <a:ln>
                      <a:noFill/>
                    </a:ln>
                  </pic:spPr>
                </pic:pic>
              </a:graphicData>
            </a:graphic>
          </wp:inline>
        </w:drawing>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 xml:space="preserve">Providing accessible signs is part of a public accommodation’s obligation to remove structural communication barriers. Two sections of the ADAAG are the primary source of information regarding a public accommodation’s obligation to provide accessible signs. Generally speaking, ADAAG section 216, and the corresponding CBC section 11B-216, address which signs need to be accessible, and ADAAG section 703, and the corresponding CBC section 11B-703, detail the features of compliant signs. </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Interior and exterior signs identifying permanent rooms and spaces must be accessible. (ADAAG 216.2; CBC 11B-216.2.)  This obligation applies to signs that provide designations, labels, or names for interior rooms or spaces where the sign is not likely to change over time, such as interior signs labeling restrooms, room and floor numbers or letters, and room names.  (Id.) However, this obligation does not extend to exterior signs that are not located at the door to the space they serve. (Id.)</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 xml:space="preserve">Directional and informational signs, which provide direction to or information about interior spaces and facilities of a particular site, must also comply with ADAAG section 703 and CBC section 11B-703 requirements.  (ADAAG 216.3; CBC 11B-216.3.)  Signs in this category also include signs addressing rules of conduct, occupant load, and those signs identifying routes of egress. (Id.) </w:t>
      </w:r>
    </w:p>
    <w:p w:rsidR="00406A33" w:rsidRPr="00724CF8" w:rsidRDefault="00406A33" w:rsidP="00673D5F">
      <w:pPr>
        <w:pStyle w:val="OutlineL1"/>
        <w:numPr>
          <w:ilvl w:val="0"/>
          <w:numId w:val="0"/>
        </w:numPr>
        <w:rPr>
          <w:rFonts w:ascii="Avenir Book" w:hAnsi="Avenir Book"/>
          <w:sz w:val="21"/>
          <w:szCs w:val="21"/>
          <w:shd w:val="clear" w:color="auto" w:fill="FFFFFF"/>
        </w:rPr>
      </w:pPr>
      <w:r w:rsidRPr="00724CF8">
        <w:rPr>
          <w:rFonts w:ascii="Avenir Book" w:hAnsi="Avenir Book"/>
          <w:sz w:val="21"/>
          <w:szCs w:val="21"/>
        </w:rPr>
        <w:t xml:space="preserve">Signs providing direction to accessible means of egress, and </w:t>
      </w:r>
      <w:r w:rsidRPr="00724CF8">
        <w:rPr>
          <w:rFonts w:ascii="Avenir Book" w:hAnsi="Avenir Book"/>
          <w:sz w:val="21"/>
          <w:szCs w:val="21"/>
          <w:shd w:val="clear" w:color="auto" w:fill="FFFFFF"/>
        </w:rPr>
        <w:t>doors at exit passageways, exit discharge, and exit stairways, must also be identified by tactile signs complying with ADAAG section 703 and CBC section 11B-703. (ADAAG 216.4.1,</w:t>
      </w:r>
      <w:r w:rsidRPr="00724CF8">
        <w:rPr>
          <w:rFonts w:ascii="Avenir Book" w:hAnsi="Avenir Book"/>
          <w:sz w:val="21"/>
          <w:szCs w:val="21"/>
        </w:rPr>
        <w:t xml:space="preserve"> 216.4.3; CBC 11B-216.4.1, 11B-216.4.3.)</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 xml:space="preserve">There are exceptions for certain kinds of signs, such as building directories, building addresses, and company names and logos. (ADAAG 216.1; CBC 11B-216.1.) There is also an exception for temporary (7 days or less) signs. (Id.) There are also particular requirements for parking signs, as addressed in Section IV of this Toolkit. </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The regulations also detail when public accommodations are required to identify accessible areas. For example, if all entrances do not comply with accessible route requirements, the entrances that are accessible must be identified by the International Symbol of Accessibility (ADAAG Figure 703.2.1). (ADAAG 216.6; CBC 11B-216.6.) The non-compliant entrances must also be marked with accessible signs indicating the location of the nearest accessible entrance. (Id.)  In such cases, the directional signs should be located to minimize backtracking, such as by locating the directional sign at the beginning of a particular route rather than just at the inaccessible entrance itself. (Id.) Other instances where signs are required to direct the public to accessible features, including accessible restrooms and check-out aisles, are addressed elsewhere within this Toolkit.</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lastRenderedPageBreak/>
        <w:t>As referenced above, ADAAG section 703 and the corresponding CBC section 11B-703 identify the specific technical requirements that apply to accessible signs, including requirements for character spacing, height, font, case, and proportion, as well as requirements for raised characters, pictograms, and Braille. As illustrated by the following ADAAG table, the accessible sign requirements are both detailed and location dependent, and the ADAAG should be consulted to determine the particular compliance components for signs used in your business.</w:t>
      </w:r>
    </w:p>
    <w:p w:rsidR="00406A33" w:rsidRPr="00D960F9" w:rsidRDefault="00406A33" w:rsidP="00673D5F">
      <w:pPr>
        <w:pStyle w:val="OutlineL1"/>
        <w:numPr>
          <w:ilvl w:val="0"/>
          <w:numId w:val="0"/>
        </w:numPr>
        <w:jc w:val="center"/>
        <w:rPr>
          <w:rFonts w:ascii="Avenir Book" w:hAnsi="Avenir Book"/>
          <w:b/>
          <w:sz w:val="21"/>
          <w:szCs w:val="21"/>
        </w:rPr>
      </w:pPr>
      <w:r w:rsidRPr="00D960F9">
        <w:rPr>
          <w:rFonts w:ascii="Avenir Book" w:hAnsi="Avenir Book"/>
          <w:b/>
          <w:sz w:val="21"/>
          <w:szCs w:val="21"/>
        </w:rPr>
        <w:t>ADAAG Table 703.5.5 Visual Character Height</w:t>
      </w:r>
    </w:p>
    <w:tbl>
      <w:tblPr>
        <w:tblW w:w="0" w:type="auto"/>
        <w:shd w:val="clear" w:color="auto" w:fill="FFFFFF"/>
        <w:tblCellMar>
          <w:left w:w="0" w:type="dxa"/>
          <w:right w:w="0" w:type="dxa"/>
        </w:tblCellMar>
        <w:tblLook w:val="04A0"/>
      </w:tblPr>
      <w:tblGrid>
        <w:gridCol w:w="2823"/>
        <w:gridCol w:w="2254"/>
        <w:gridCol w:w="3563"/>
      </w:tblGrid>
      <w:tr w:rsidR="00406A33" w:rsidRPr="00724CF8" w:rsidTr="00724644">
        <w:trPr>
          <w:tblHeader/>
        </w:trPr>
        <w:tc>
          <w:tcPr>
            <w:tcW w:w="0" w:type="auto"/>
            <w:tcBorders>
              <w:top w:val="nil"/>
              <w:left w:val="nil"/>
              <w:bottom w:val="single" w:sz="8" w:space="0" w:color="000000"/>
              <w:right w:val="nil"/>
            </w:tcBorders>
            <w:shd w:val="clear" w:color="auto" w:fill="FFFFFF"/>
            <w:vAlign w:val="bottom"/>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Height to Finish Floor or Ground </w:t>
            </w:r>
            <w:r w:rsidRPr="00724CF8">
              <w:rPr>
                <w:rFonts w:ascii="Avenir Book" w:hAnsi="Avenir Book"/>
                <w:color w:val="000000"/>
                <w:sz w:val="21"/>
                <w:szCs w:val="21"/>
              </w:rPr>
              <w:br/>
              <w:t>from Baseline of Character</w:t>
            </w:r>
          </w:p>
        </w:tc>
        <w:tc>
          <w:tcPr>
            <w:tcW w:w="0" w:type="auto"/>
            <w:tcBorders>
              <w:top w:val="nil"/>
              <w:left w:val="nil"/>
              <w:bottom w:val="single" w:sz="8" w:space="0" w:color="000000"/>
              <w:right w:val="nil"/>
            </w:tcBorders>
            <w:shd w:val="clear" w:color="auto" w:fill="FFFFFF"/>
            <w:vAlign w:val="bottom"/>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Horizontal Viewing Distance</w:t>
            </w:r>
          </w:p>
        </w:tc>
        <w:tc>
          <w:tcPr>
            <w:tcW w:w="0" w:type="auto"/>
            <w:tcBorders>
              <w:top w:val="nil"/>
              <w:left w:val="nil"/>
              <w:bottom w:val="single" w:sz="8" w:space="0" w:color="000000"/>
              <w:right w:val="nil"/>
            </w:tcBorders>
            <w:shd w:val="clear" w:color="auto" w:fill="FFFFFF"/>
            <w:vAlign w:val="bottom"/>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Minimum Character Height</w:t>
            </w:r>
          </w:p>
        </w:tc>
      </w:tr>
      <w:tr w:rsidR="00406A33" w:rsidRPr="00724CF8" w:rsidTr="00724644">
        <w:tc>
          <w:tcPr>
            <w:tcW w:w="0" w:type="auto"/>
            <w:vMerge w:val="restart"/>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40 inches (1015 mm) </w:t>
            </w:r>
            <w:r w:rsidRPr="00724CF8">
              <w:rPr>
                <w:rFonts w:ascii="Avenir Book" w:hAnsi="Avenir Book"/>
                <w:color w:val="000000"/>
                <w:sz w:val="21"/>
                <w:szCs w:val="21"/>
              </w:rPr>
              <w:br/>
              <w:t>to less than or equal to 70 inches (1780 mm)</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less than 72 inches (1830 mm)</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5/8 inch (16 mm)</w:t>
            </w:r>
          </w:p>
        </w:tc>
      </w:tr>
      <w:tr w:rsidR="00406A33" w:rsidRPr="00724CF8" w:rsidTr="00724644">
        <w:tc>
          <w:tcPr>
            <w:tcW w:w="0" w:type="auto"/>
            <w:vMerge/>
            <w:tcBorders>
              <w:top w:val="single" w:sz="8" w:space="0" w:color="808080"/>
              <w:left w:val="single" w:sz="8" w:space="0" w:color="808080"/>
              <w:bottom w:val="single" w:sz="8" w:space="0" w:color="808080"/>
              <w:right w:val="single" w:sz="8" w:space="0" w:color="808080"/>
            </w:tcBorders>
            <w:shd w:val="clear" w:color="auto" w:fill="FFFFFF"/>
            <w:vAlign w:val="center"/>
            <w:hideMark/>
          </w:tcPr>
          <w:p w:rsidR="00406A33" w:rsidRPr="00724CF8" w:rsidRDefault="00406A33" w:rsidP="00724644">
            <w:pPr>
              <w:rPr>
                <w:rFonts w:ascii="Avenir Book" w:hAnsi="Avenir Book"/>
                <w:color w:val="000000"/>
                <w:sz w:val="21"/>
                <w:szCs w:val="21"/>
              </w:rPr>
            </w:pP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72 inches (1830 mm) and greater</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5/8 inch (16 mm), plus 1/8 inch (3.2 mm) per foot (305 mm) </w:t>
            </w:r>
            <w:r w:rsidRPr="00724CF8">
              <w:rPr>
                <w:rFonts w:ascii="Avenir Book" w:hAnsi="Avenir Book"/>
                <w:color w:val="000000"/>
                <w:sz w:val="21"/>
                <w:szCs w:val="21"/>
              </w:rPr>
              <w:br/>
              <w:t>of viewing distance above 72 inches (1830 mm)</w:t>
            </w:r>
          </w:p>
        </w:tc>
      </w:tr>
      <w:tr w:rsidR="00406A33" w:rsidRPr="00724CF8" w:rsidTr="00724644">
        <w:tc>
          <w:tcPr>
            <w:tcW w:w="0" w:type="auto"/>
            <w:vMerge w:val="restart"/>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Greater than 70 inches (1780 mm) </w:t>
            </w:r>
            <w:r w:rsidRPr="00724CF8">
              <w:rPr>
                <w:rFonts w:ascii="Avenir Book" w:hAnsi="Avenir Book"/>
                <w:color w:val="000000"/>
                <w:sz w:val="21"/>
                <w:szCs w:val="21"/>
              </w:rPr>
              <w:br/>
              <w:t>to less than or equal to 120 inches (3050 mm)</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less than 180 inches (4570 mm)</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2 inches (51 mm)</w:t>
            </w:r>
          </w:p>
        </w:tc>
      </w:tr>
      <w:tr w:rsidR="00406A33" w:rsidRPr="00724CF8" w:rsidTr="00724644">
        <w:tc>
          <w:tcPr>
            <w:tcW w:w="0" w:type="auto"/>
            <w:vMerge/>
            <w:tcBorders>
              <w:top w:val="single" w:sz="8" w:space="0" w:color="808080"/>
              <w:left w:val="single" w:sz="8" w:space="0" w:color="808080"/>
              <w:bottom w:val="single" w:sz="8" w:space="0" w:color="808080"/>
              <w:right w:val="single" w:sz="8" w:space="0" w:color="808080"/>
            </w:tcBorders>
            <w:shd w:val="clear" w:color="auto" w:fill="FFFFFF"/>
            <w:vAlign w:val="center"/>
            <w:hideMark/>
          </w:tcPr>
          <w:p w:rsidR="00406A33" w:rsidRPr="00724CF8" w:rsidRDefault="00406A33" w:rsidP="00724644">
            <w:pPr>
              <w:rPr>
                <w:rFonts w:ascii="Avenir Book" w:hAnsi="Avenir Book"/>
                <w:color w:val="000000"/>
                <w:sz w:val="21"/>
                <w:szCs w:val="21"/>
              </w:rPr>
            </w:pP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180 inches (4570 mm) and greater</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2 inches (51 mm), plus 1/8 inch (3.2 mm) per foot (305 mm) </w:t>
            </w:r>
            <w:r w:rsidRPr="00724CF8">
              <w:rPr>
                <w:rFonts w:ascii="Avenir Book" w:hAnsi="Avenir Book"/>
                <w:color w:val="000000"/>
                <w:sz w:val="21"/>
                <w:szCs w:val="21"/>
              </w:rPr>
              <w:br/>
              <w:t>of viewing distance above 180 inches (4570 mm)</w:t>
            </w:r>
          </w:p>
        </w:tc>
      </w:tr>
      <w:tr w:rsidR="00406A33" w:rsidRPr="00724CF8" w:rsidTr="00724644">
        <w:tc>
          <w:tcPr>
            <w:tcW w:w="0" w:type="auto"/>
            <w:vMerge w:val="restart"/>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Greater than 120 inches (3050 mm)</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less than 21 feet (6400 mm)</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3 inches (75 mm)</w:t>
            </w:r>
          </w:p>
        </w:tc>
      </w:tr>
      <w:tr w:rsidR="00406A33" w:rsidRPr="00724CF8" w:rsidTr="00724644">
        <w:tc>
          <w:tcPr>
            <w:tcW w:w="0" w:type="auto"/>
            <w:vMerge/>
            <w:tcBorders>
              <w:top w:val="single" w:sz="8" w:space="0" w:color="808080"/>
              <w:left w:val="single" w:sz="8" w:space="0" w:color="808080"/>
              <w:bottom w:val="single" w:sz="8" w:space="0" w:color="808080"/>
              <w:right w:val="single" w:sz="8" w:space="0" w:color="808080"/>
            </w:tcBorders>
            <w:shd w:val="clear" w:color="auto" w:fill="FFFFFF"/>
            <w:vAlign w:val="center"/>
            <w:hideMark/>
          </w:tcPr>
          <w:p w:rsidR="00406A33" w:rsidRPr="00724CF8" w:rsidRDefault="00406A33" w:rsidP="00724644">
            <w:pPr>
              <w:rPr>
                <w:rFonts w:ascii="Avenir Book" w:hAnsi="Avenir Book"/>
                <w:color w:val="000000"/>
                <w:sz w:val="21"/>
                <w:szCs w:val="21"/>
              </w:rPr>
            </w:pP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21 feet (6400 mm) and greater</w:t>
            </w:r>
          </w:p>
        </w:tc>
        <w:tc>
          <w:tcPr>
            <w:tcW w:w="0" w:type="auto"/>
            <w:tcBorders>
              <w:top w:val="single" w:sz="8" w:space="0" w:color="808080"/>
              <w:left w:val="single" w:sz="8" w:space="0" w:color="808080"/>
              <w:bottom w:val="single" w:sz="8" w:space="0" w:color="808080"/>
              <w:right w:val="single" w:sz="8" w:space="0" w:color="808080"/>
            </w:tcBorders>
            <w:shd w:val="clear" w:color="auto" w:fill="FFFFFF"/>
            <w:tcMar>
              <w:top w:w="0" w:type="dxa"/>
              <w:left w:w="120" w:type="dxa"/>
              <w:bottom w:w="0" w:type="dxa"/>
              <w:right w:w="120" w:type="dxa"/>
            </w:tcMar>
            <w:hideMark/>
          </w:tcPr>
          <w:p w:rsidR="00406A33" w:rsidRPr="00724CF8" w:rsidRDefault="00406A33" w:rsidP="00724644">
            <w:pPr>
              <w:spacing w:line="270" w:lineRule="atLeast"/>
              <w:jc w:val="center"/>
              <w:rPr>
                <w:rFonts w:ascii="Avenir Book" w:hAnsi="Avenir Book"/>
                <w:color w:val="000000"/>
                <w:sz w:val="21"/>
                <w:szCs w:val="21"/>
              </w:rPr>
            </w:pPr>
            <w:r w:rsidRPr="00724CF8">
              <w:rPr>
                <w:rFonts w:ascii="Avenir Book" w:hAnsi="Avenir Book"/>
                <w:color w:val="000000"/>
                <w:sz w:val="21"/>
                <w:szCs w:val="21"/>
              </w:rPr>
              <w:t>3 inches (75 mm), plus 1/8 inch (3.2 mm) per foot (305 mm) </w:t>
            </w:r>
            <w:r w:rsidRPr="00724CF8">
              <w:rPr>
                <w:rFonts w:ascii="Avenir Book" w:hAnsi="Avenir Book"/>
                <w:color w:val="000000"/>
                <w:sz w:val="21"/>
                <w:szCs w:val="21"/>
              </w:rPr>
              <w:br/>
              <w:t>of viewing distance above 21 feet (6400 mm)</w:t>
            </w:r>
          </w:p>
        </w:tc>
      </w:tr>
      <w:tr w:rsidR="00406A33" w:rsidRPr="00724CF8" w:rsidTr="00724644">
        <w:trPr>
          <w:tblHeader/>
        </w:trPr>
        <w:tc>
          <w:tcPr>
            <w:tcW w:w="0" w:type="auto"/>
            <w:gridSpan w:val="3"/>
            <w:tcBorders>
              <w:top w:val="nil"/>
              <w:left w:val="nil"/>
              <w:bottom w:val="nil"/>
              <w:right w:val="nil"/>
            </w:tcBorders>
            <w:shd w:val="clear" w:color="auto" w:fill="FFFFFF"/>
            <w:vAlign w:val="center"/>
            <w:hideMark/>
          </w:tcPr>
          <w:p w:rsidR="00406A33" w:rsidRPr="00724CF8" w:rsidRDefault="00406A33" w:rsidP="00724644">
            <w:pPr>
              <w:spacing w:line="270" w:lineRule="atLeast"/>
              <w:jc w:val="center"/>
              <w:textAlignment w:val="baseline"/>
              <w:rPr>
                <w:rFonts w:ascii="Avenir Book" w:hAnsi="Avenir Book"/>
                <w:color w:val="000000"/>
                <w:sz w:val="21"/>
                <w:szCs w:val="21"/>
              </w:rPr>
            </w:pPr>
          </w:p>
        </w:tc>
      </w:tr>
    </w:tbl>
    <w:p w:rsidR="00406A33" w:rsidRPr="00724CF8" w:rsidRDefault="00406A33" w:rsidP="00673D5F">
      <w:pPr>
        <w:pStyle w:val="OutlineL1"/>
        <w:numPr>
          <w:ilvl w:val="0"/>
          <w:numId w:val="0"/>
        </w:numPr>
        <w:rPr>
          <w:rFonts w:ascii="Avenir Book" w:hAnsi="Avenir Book"/>
          <w:sz w:val="21"/>
          <w:szCs w:val="21"/>
        </w:rPr>
      </w:pPr>
    </w:p>
    <w:p w:rsidR="00406A33" w:rsidRPr="00724CF8" w:rsidRDefault="00406A33" w:rsidP="00673D5F">
      <w:pPr>
        <w:pStyle w:val="OutlineL1"/>
        <w:numPr>
          <w:ilvl w:val="0"/>
          <w:numId w:val="0"/>
        </w:numPr>
        <w:rPr>
          <w:rFonts w:ascii="Avenir Book" w:hAnsi="Avenir Book"/>
          <w:sz w:val="21"/>
          <w:szCs w:val="21"/>
        </w:rPr>
      </w:pPr>
    </w:p>
    <w:p w:rsidR="00406A33" w:rsidRPr="00D245AC" w:rsidRDefault="00D245AC" w:rsidP="00D245AC">
      <w:pPr>
        <w:pStyle w:val="OutlineL1"/>
        <w:tabs>
          <w:tab w:val="clear" w:pos="720"/>
          <w:tab w:val="num" w:pos="360"/>
        </w:tabs>
        <w:rPr>
          <w:rFonts w:ascii="Avenir Book" w:hAnsi="Avenir Book"/>
          <w:b/>
          <w:sz w:val="21"/>
          <w:szCs w:val="21"/>
        </w:rPr>
      </w:pPr>
      <w:r w:rsidRPr="00D245AC">
        <w:rPr>
          <w:rFonts w:ascii="Avenir Book" w:hAnsi="Avenir Book"/>
          <w:b/>
          <w:sz w:val="21"/>
          <w:szCs w:val="21"/>
        </w:rPr>
        <w:br w:type="page"/>
      </w:r>
      <w:r w:rsidRPr="00D245AC">
        <w:rPr>
          <w:rFonts w:ascii="Avenir Book" w:hAnsi="Avenir Book"/>
          <w:b/>
          <w:sz w:val="21"/>
          <w:szCs w:val="21"/>
        </w:rPr>
        <w:lastRenderedPageBreak/>
        <w:t>ACCESS TO MERCHANDISE AND STORE LAYOUT</w:t>
      </w:r>
    </w:p>
    <w:p w:rsidR="00406A33" w:rsidRPr="00724CF8" w:rsidRDefault="00406A33" w:rsidP="00E908FA">
      <w:pPr>
        <w:rPr>
          <w:rFonts w:ascii="Avenir Book" w:hAnsi="Avenir Book"/>
          <w:sz w:val="21"/>
          <w:szCs w:val="21"/>
        </w:rPr>
      </w:pPr>
      <w:r w:rsidRPr="00724CF8">
        <w:rPr>
          <w:rFonts w:ascii="Avenir Book" w:hAnsi="Avenir Book"/>
          <w:sz w:val="21"/>
          <w:szCs w:val="21"/>
        </w:rPr>
        <w:t>The information below is intended to address access to merchandise and store layout obligations frequently present in grocery stores. Importantly, and notwithstanding the requirements detailed below, the rearrangement of temporary or movable structures, such as furniture, equipment, and display racks, is not readily achievable to the extent that it results in a significant loss of selling or serving space. (28 C.F.R. § 36.304(f).)</w:t>
      </w:r>
    </w:p>
    <w:p w:rsidR="00406A33" w:rsidRPr="00724CF8" w:rsidRDefault="00406A33" w:rsidP="00E908FA">
      <w:pPr>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Reach Ranges</w:t>
      </w:r>
    </w:p>
    <w:p w:rsidR="00406A33" w:rsidRPr="00724CF8" w:rsidRDefault="00406A33" w:rsidP="00E908FA">
      <w:pPr>
        <w:rPr>
          <w:rFonts w:ascii="Avenir Book" w:hAnsi="Avenir Book"/>
          <w:sz w:val="21"/>
          <w:szCs w:val="21"/>
        </w:rPr>
      </w:pPr>
      <w:r w:rsidRPr="00724CF8">
        <w:rPr>
          <w:rFonts w:ascii="Avenir Book" w:hAnsi="Avenir Book"/>
          <w:sz w:val="21"/>
          <w:szCs w:val="21"/>
        </w:rPr>
        <w:t>ADAAG section 308, and its corresponding CBC section 11B-308, provide the applicable requirements for reach ranges. The applicable requirement is dictated by whether the reach is obstructed or unobstructed, as well as by whether the reach is forward or to the side.</w:t>
      </w:r>
    </w:p>
    <w:p w:rsidR="00406A33" w:rsidRPr="00724CF8" w:rsidRDefault="00406A33" w:rsidP="00406A33">
      <w:pPr>
        <w:spacing w:before="240" w:after="240"/>
        <w:jc w:val="center"/>
        <w:rPr>
          <w:rFonts w:ascii="Avenir Book" w:hAnsi="Avenir Book"/>
          <w:sz w:val="21"/>
          <w:szCs w:val="21"/>
        </w:rPr>
      </w:pPr>
      <w:r w:rsidRPr="00724CF8">
        <w:rPr>
          <w:rFonts w:ascii="Avenir Book" w:hAnsi="Avenir Book"/>
          <w:sz w:val="21"/>
          <w:szCs w:val="21"/>
        </w:rPr>
        <w:t>ADAAG Figure 308.2.1 Unobstructed Forward Reach</w:t>
      </w:r>
    </w:p>
    <w:p w:rsidR="00406A33" w:rsidRPr="00724CF8" w:rsidRDefault="00406A33" w:rsidP="00406A33">
      <w:pPr>
        <w:jc w:val="center"/>
        <w:rPr>
          <w:rFonts w:ascii="Avenir Book" w:hAnsi="Avenir Book"/>
          <w:sz w:val="21"/>
          <w:szCs w:val="21"/>
        </w:rPr>
      </w:pPr>
      <w:r w:rsidRPr="00724CF8">
        <w:rPr>
          <w:rFonts w:ascii="Avenir Book" w:hAnsi="Avenir Book"/>
          <w:noProof/>
          <w:sz w:val="21"/>
          <w:szCs w:val="21"/>
        </w:rPr>
        <w:drawing>
          <wp:inline distT="0" distB="0" distL="0" distR="0">
            <wp:extent cx="2187622" cy="121285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ccess-board.gov/images/guidelines_standards/Buildings_Sites/ada-standards/ADA-AB16.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87622" cy="1212850"/>
                    </a:xfrm>
                    <a:prstGeom prst="rect">
                      <a:avLst/>
                    </a:prstGeom>
                    <a:noFill/>
                    <a:ln>
                      <a:noFill/>
                    </a:ln>
                  </pic:spPr>
                </pic:pic>
              </a:graphicData>
            </a:graphic>
          </wp:inline>
        </w:drawing>
      </w:r>
    </w:p>
    <w:p w:rsidR="00406A33" w:rsidRPr="00724CF8" w:rsidRDefault="00406A33" w:rsidP="00E908FA">
      <w:pPr>
        <w:rPr>
          <w:rFonts w:ascii="Avenir Book" w:hAnsi="Avenir Book"/>
          <w:sz w:val="21"/>
          <w:szCs w:val="21"/>
        </w:rPr>
      </w:pPr>
    </w:p>
    <w:p w:rsidR="00406A33" w:rsidRPr="00724CF8" w:rsidRDefault="00406A33" w:rsidP="00406A33">
      <w:pPr>
        <w:spacing w:before="240" w:after="240"/>
        <w:jc w:val="center"/>
        <w:rPr>
          <w:rFonts w:ascii="Avenir Book" w:hAnsi="Avenir Book"/>
          <w:sz w:val="21"/>
          <w:szCs w:val="21"/>
        </w:rPr>
      </w:pPr>
      <w:r w:rsidRPr="00724CF8">
        <w:rPr>
          <w:rFonts w:ascii="Avenir Book" w:hAnsi="Avenir Book"/>
          <w:sz w:val="21"/>
          <w:szCs w:val="21"/>
        </w:rPr>
        <w:t>ADAAG Figure 308.2.2 Obstructed High Forward Reach</w:t>
      </w:r>
    </w:p>
    <w:p w:rsidR="00406A33" w:rsidRPr="00724CF8" w:rsidRDefault="00406A33" w:rsidP="00E908FA">
      <w:pP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noProof/>
          <w:sz w:val="21"/>
          <w:szCs w:val="21"/>
        </w:rPr>
        <w:drawing>
          <wp:inline distT="0" distB="0" distL="0" distR="0">
            <wp:extent cx="3036914" cy="1460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ccess-board.gov/images/guidelines_standards/Buildings_Sites/ada-standards/ADA-AB17.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37375" cy="1460722"/>
                    </a:xfrm>
                    <a:prstGeom prst="rect">
                      <a:avLst/>
                    </a:prstGeom>
                    <a:noFill/>
                    <a:ln>
                      <a:noFill/>
                    </a:ln>
                  </pic:spPr>
                </pic:pic>
              </a:graphicData>
            </a:graphic>
          </wp:inline>
        </w:drawing>
      </w:r>
    </w:p>
    <w:p w:rsidR="00406A33" w:rsidRPr="00724CF8" w:rsidRDefault="00406A33" w:rsidP="00E908FA">
      <w:pPr>
        <w:rPr>
          <w:rFonts w:ascii="Avenir Book" w:hAnsi="Avenir Book"/>
          <w:sz w:val="21"/>
          <w:szCs w:val="21"/>
        </w:rPr>
      </w:pPr>
    </w:p>
    <w:p w:rsidR="00406A33" w:rsidRPr="00724CF8" w:rsidRDefault="00406A33" w:rsidP="00406A33">
      <w:pPr>
        <w:spacing w:before="240" w:after="240"/>
        <w:jc w:val="center"/>
        <w:rPr>
          <w:rFonts w:ascii="Avenir Book" w:hAnsi="Avenir Book"/>
          <w:sz w:val="21"/>
          <w:szCs w:val="21"/>
        </w:rPr>
      </w:pPr>
    </w:p>
    <w:p w:rsidR="00406A33" w:rsidRPr="00724CF8" w:rsidRDefault="00406A33" w:rsidP="00406A33">
      <w:pPr>
        <w:spacing w:before="240" w:after="240"/>
        <w:jc w:val="center"/>
        <w:rPr>
          <w:rFonts w:ascii="Avenir Book" w:hAnsi="Avenir Book"/>
          <w:sz w:val="21"/>
          <w:szCs w:val="21"/>
        </w:rPr>
      </w:pPr>
    </w:p>
    <w:p w:rsidR="00406A33" w:rsidRPr="00724CF8" w:rsidRDefault="00406A33" w:rsidP="00406A33">
      <w:pPr>
        <w:spacing w:before="240" w:after="240"/>
        <w:jc w:val="center"/>
        <w:rPr>
          <w:rFonts w:ascii="Avenir Book" w:hAnsi="Avenir Book"/>
          <w:sz w:val="21"/>
          <w:szCs w:val="21"/>
        </w:rPr>
      </w:pPr>
    </w:p>
    <w:p w:rsidR="00406A33" w:rsidRPr="00724CF8" w:rsidRDefault="00406A33" w:rsidP="00406A33">
      <w:pPr>
        <w:spacing w:before="240" w:after="240"/>
        <w:jc w:val="center"/>
        <w:rPr>
          <w:rFonts w:ascii="Avenir Book" w:hAnsi="Avenir Book"/>
          <w:sz w:val="21"/>
          <w:szCs w:val="21"/>
        </w:rPr>
      </w:pPr>
    </w:p>
    <w:p w:rsidR="0043666B" w:rsidRDefault="0043666B" w:rsidP="0043666B">
      <w:pPr>
        <w:spacing w:before="240" w:after="240"/>
        <w:rPr>
          <w:rFonts w:ascii="Avenir Book" w:hAnsi="Avenir Book"/>
          <w:sz w:val="21"/>
          <w:szCs w:val="21"/>
        </w:rPr>
      </w:pPr>
    </w:p>
    <w:p w:rsidR="00406A33" w:rsidRPr="00724CF8" w:rsidRDefault="00406A33" w:rsidP="0043666B">
      <w:pPr>
        <w:spacing w:before="240" w:after="240"/>
        <w:jc w:val="center"/>
        <w:rPr>
          <w:rFonts w:ascii="Avenir Book" w:hAnsi="Avenir Book"/>
          <w:sz w:val="21"/>
          <w:szCs w:val="21"/>
        </w:rPr>
      </w:pPr>
      <w:r w:rsidRPr="00724CF8">
        <w:rPr>
          <w:rFonts w:ascii="Avenir Book" w:hAnsi="Avenir Book"/>
          <w:sz w:val="21"/>
          <w:szCs w:val="21"/>
        </w:rPr>
        <w:t>ADAAG Figure 308.3.1 Unobstructed Side Reach</w:t>
      </w:r>
    </w:p>
    <w:p w:rsidR="00406A33" w:rsidRPr="00724CF8" w:rsidRDefault="00406A33" w:rsidP="00406A33">
      <w:pPr>
        <w:jc w:val="center"/>
        <w:rPr>
          <w:rFonts w:ascii="Avenir Book" w:hAnsi="Avenir Book"/>
          <w:sz w:val="21"/>
          <w:szCs w:val="21"/>
        </w:rPr>
      </w:pPr>
      <w:r w:rsidRPr="00724CF8">
        <w:rPr>
          <w:rFonts w:ascii="Avenir Book" w:hAnsi="Avenir Book"/>
          <w:noProof/>
          <w:sz w:val="21"/>
          <w:szCs w:val="21"/>
        </w:rPr>
        <w:drawing>
          <wp:inline distT="0" distB="0" distL="0" distR="0">
            <wp:extent cx="2130753" cy="167005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ccess-board.gov/images/guidelines_standards/Buildings_Sites/ada-standards/ADA-AB18.g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0753" cy="1670050"/>
                    </a:xfrm>
                    <a:prstGeom prst="rect">
                      <a:avLst/>
                    </a:prstGeom>
                    <a:noFill/>
                    <a:ln>
                      <a:noFill/>
                    </a:ln>
                  </pic:spPr>
                </pic:pic>
              </a:graphicData>
            </a:graphic>
          </wp:inline>
        </w:drawing>
      </w:r>
    </w:p>
    <w:p w:rsidR="00406A33" w:rsidRPr="00724CF8" w:rsidRDefault="00406A33" w:rsidP="00E908FA">
      <w:pPr>
        <w:rPr>
          <w:rFonts w:ascii="Avenir Book" w:hAnsi="Avenir Book"/>
          <w:sz w:val="21"/>
          <w:szCs w:val="21"/>
        </w:rPr>
      </w:pPr>
    </w:p>
    <w:p w:rsidR="00406A33" w:rsidRPr="00724CF8" w:rsidRDefault="00406A33" w:rsidP="00406A33">
      <w:pPr>
        <w:spacing w:before="240" w:after="240"/>
        <w:jc w:val="center"/>
        <w:rPr>
          <w:rFonts w:ascii="Avenir Book" w:hAnsi="Avenir Book"/>
          <w:sz w:val="21"/>
          <w:szCs w:val="21"/>
        </w:rPr>
      </w:pPr>
      <w:r w:rsidRPr="00724CF8">
        <w:rPr>
          <w:rFonts w:ascii="Avenir Book" w:hAnsi="Avenir Book"/>
          <w:sz w:val="21"/>
          <w:szCs w:val="21"/>
        </w:rPr>
        <w:t>ADAAG Figure 308.3.2 Obstructed High Side Reach</w:t>
      </w:r>
    </w:p>
    <w:p w:rsidR="00406A33" w:rsidRPr="00724CF8" w:rsidRDefault="00406A33" w:rsidP="00E908FA">
      <w:pPr>
        <w:rPr>
          <w:rFonts w:ascii="Avenir Book" w:hAnsi="Avenir Book"/>
          <w:sz w:val="21"/>
          <w:szCs w:val="21"/>
        </w:rPr>
      </w:pPr>
    </w:p>
    <w:p w:rsidR="00406A33" w:rsidRPr="00724CF8" w:rsidRDefault="00406A33" w:rsidP="00406A33">
      <w:pPr>
        <w:jc w:val="center"/>
        <w:rPr>
          <w:rFonts w:ascii="Avenir Book" w:hAnsi="Avenir Book"/>
          <w:sz w:val="21"/>
          <w:szCs w:val="21"/>
        </w:rPr>
      </w:pPr>
      <w:r w:rsidRPr="00724CF8">
        <w:rPr>
          <w:rFonts w:ascii="Avenir Book" w:hAnsi="Avenir Book"/>
          <w:noProof/>
          <w:sz w:val="21"/>
          <w:szCs w:val="21"/>
        </w:rPr>
        <w:drawing>
          <wp:inline distT="0" distB="0" distL="0" distR="0">
            <wp:extent cx="4587653" cy="203200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ccess-board.gov/images/guidelines_standards/Buildings_Sites/ada-standards/ada-ab19.gi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87653" cy="2032000"/>
                    </a:xfrm>
                    <a:prstGeom prst="rect">
                      <a:avLst/>
                    </a:prstGeom>
                    <a:noFill/>
                    <a:ln>
                      <a:noFill/>
                    </a:ln>
                  </pic:spPr>
                </pic:pic>
              </a:graphicData>
            </a:graphic>
          </wp:inline>
        </w:drawing>
      </w:r>
    </w:p>
    <w:p w:rsidR="00406A33" w:rsidRPr="00724CF8" w:rsidRDefault="00406A33" w:rsidP="00E908FA">
      <w:pPr>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 xml:space="preserve">Operable Parts </w:t>
      </w:r>
    </w:p>
    <w:p w:rsidR="00406A33" w:rsidRPr="00724CF8" w:rsidRDefault="00406A33" w:rsidP="00D245AC">
      <w:pPr>
        <w:tabs>
          <w:tab w:val="num" w:pos="1080"/>
        </w:tabs>
        <w:rPr>
          <w:rFonts w:ascii="Avenir Book" w:hAnsi="Avenir Book"/>
          <w:sz w:val="21"/>
          <w:szCs w:val="21"/>
        </w:rPr>
      </w:pPr>
      <w:r w:rsidRPr="00724CF8">
        <w:rPr>
          <w:rFonts w:ascii="Avenir Book" w:hAnsi="Avenir Book"/>
          <w:sz w:val="21"/>
          <w:szCs w:val="21"/>
        </w:rPr>
        <w:t xml:space="preserve">Operable parts are a frequent consideration in public accommodations, as discussed elsewhere in this Toolkit.  With respect to issues of access to merchandise, operable parts requirements are likely to arise with self-grinding coffee displays or other customer-operated devices. </w:t>
      </w:r>
    </w:p>
    <w:p w:rsidR="00406A33" w:rsidRPr="00724CF8" w:rsidRDefault="00406A33" w:rsidP="00D245AC">
      <w:pPr>
        <w:tabs>
          <w:tab w:val="num" w:pos="1080"/>
        </w:tabs>
        <w:rPr>
          <w:rFonts w:ascii="Avenir Book" w:hAnsi="Avenir Book"/>
          <w:sz w:val="21"/>
          <w:szCs w:val="21"/>
        </w:rPr>
      </w:pPr>
    </w:p>
    <w:p w:rsidR="00406A33" w:rsidRPr="00724CF8" w:rsidRDefault="00406A33" w:rsidP="00D245AC">
      <w:pPr>
        <w:tabs>
          <w:tab w:val="num" w:pos="1080"/>
        </w:tabs>
        <w:rPr>
          <w:rFonts w:ascii="Avenir Book" w:hAnsi="Avenir Book"/>
          <w:sz w:val="21"/>
          <w:szCs w:val="21"/>
        </w:rPr>
      </w:pPr>
      <w:r w:rsidRPr="00724CF8">
        <w:rPr>
          <w:rFonts w:ascii="Avenir Book" w:hAnsi="Avenir Book"/>
          <w:sz w:val="21"/>
          <w:szCs w:val="21"/>
        </w:rPr>
        <w:t>Operable parts must be within a compliant reach range (ADAAG 309.3; CBC 11B-309.3) and must be in an area providing a compliant clear floor or ground space (ADAAG 309.2; CBC 11B-309.2). The operable parts themselves must be operable with one hand and must not require tight grasping, pinching or twisting of the wrist to operate. (ADAAG 309.4; CBC 11B-309.4)  The force required to activate an operable part must also be no greater than 5 pounds. (Id.)</w:t>
      </w:r>
    </w:p>
    <w:p w:rsidR="00406A33" w:rsidRDefault="00406A33" w:rsidP="00D245AC">
      <w:pPr>
        <w:tabs>
          <w:tab w:val="num" w:pos="1080"/>
        </w:tabs>
        <w:rPr>
          <w:rFonts w:ascii="Avenir Book" w:hAnsi="Avenir Book"/>
          <w:sz w:val="21"/>
          <w:szCs w:val="21"/>
        </w:rPr>
      </w:pPr>
    </w:p>
    <w:p w:rsidR="00235605" w:rsidRDefault="00235605" w:rsidP="00D245AC">
      <w:pPr>
        <w:tabs>
          <w:tab w:val="num" w:pos="1080"/>
        </w:tabs>
        <w:rPr>
          <w:rFonts w:ascii="Avenir Book" w:hAnsi="Avenir Book"/>
          <w:sz w:val="21"/>
          <w:szCs w:val="21"/>
        </w:rPr>
      </w:pPr>
    </w:p>
    <w:p w:rsidR="00235605" w:rsidRDefault="00235605" w:rsidP="00D245AC">
      <w:pPr>
        <w:tabs>
          <w:tab w:val="num" w:pos="1080"/>
        </w:tabs>
        <w:rPr>
          <w:rFonts w:ascii="Avenir Book" w:hAnsi="Avenir Book"/>
          <w:sz w:val="21"/>
          <w:szCs w:val="21"/>
        </w:rPr>
      </w:pPr>
    </w:p>
    <w:p w:rsidR="00235605" w:rsidRPr="00724CF8" w:rsidRDefault="00235605" w:rsidP="00D245AC">
      <w:pPr>
        <w:tabs>
          <w:tab w:val="num" w:pos="1080"/>
        </w:tabs>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Self-Service Shelves and Dispensing Devices</w:t>
      </w:r>
    </w:p>
    <w:p w:rsidR="00406A33" w:rsidRDefault="00406A33" w:rsidP="00E908FA">
      <w:pPr>
        <w:rPr>
          <w:rFonts w:ascii="Avenir Book" w:hAnsi="Avenir Book"/>
          <w:sz w:val="21"/>
          <w:szCs w:val="21"/>
        </w:rPr>
      </w:pPr>
      <w:r w:rsidRPr="00724CF8">
        <w:rPr>
          <w:rFonts w:ascii="Avenir Book" w:hAnsi="Avenir Book"/>
          <w:sz w:val="21"/>
          <w:szCs w:val="21"/>
        </w:rPr>
        <w:t>Any self-service shelves and dispensing devices for tableware, dishware, condiments, food and beverages must comply with reach range requirements.  (ADAAG 308; 904.5.1; CBC 11B-308; 11B-904.5.1.)</w:t>
      </w:r>
    </w:p>
    <w:p w:rsidR="00235605" w:rsidRPr="00724CF8" w:rsidRDefault="00235605" w:rsidP="00E908FA">
      <w:pPr>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 xml:space="preserve">Use of Mobility Devices </w:t>
      </w:r>
    </w:p>
    <w:p w:rsidR="00406A33" w:rsidRPr="00724CF8" w:rsidRDefault="00406A33" w:rsidP="00406A33">
      <w:pPr>
        <w:shd w:val="clear" w:color="auto" w:fill="FFFFFF"/>
        <w:spacing w:before="240" w:after="120"/>
        <w:ind w:right="240"/>
        <w:rPr>
          <w:rFonts w:ascii="Avenir Book" w:hAnsi="Avenir Book"/>
          <w:color w:val="000000"/>
          <w:sz w:val="21"/>
          <w:szCs w:val="21"/>
        </w:rPr>
      </w:pPr>
      <w:r w:rsidRPr="00724CF8">
        <w:rPr>
          <w:rFonts w:ascii="Avenir Book" w:hAnsi="Avenir Book"/>
          <w:color w:val="000000"/>
          <w:sz w:val="21"/>
          <w:szCs w:val="21"/>
        </w:rPr>
        <w:t>A public accommodation must permit individuals with mobility disabilities to use wheelchairs and manually-powered mobility aids, such as walkers, crutches, canes, braces, or other similar devices designed for use by individuals with mobility disabilities in any areas open to pedestrian use. (28 C.F.R. §</w:t>
      </w:r>
      <w:bookmarkStart w:id="1" w:name="a311"/>
      <w:bookmarkEnd w:id="1"/>
      <w:r w:rsidRPr="00724CF8">
        <w:rPr>
          <w:rStyle w:val="apple-converted-space"/>
          <w:rFonts w:ascii="Avenir Book" w:hAnsi="Avenir Book"/>
          <w:color w:val="000000"/>
          <w:sz w:val="21"/>
          <w:szCs w:val="21"/>
        </w:rPr>
        <w:t> </w:t>
      </w:r>
      <w:r w:rsidRPr="00724CF8">
        <w:rPr>
          <w:rFonts w:ascii="Avenir Book" w:hAnsi="Avenir Book"/>
          <w:color w:val="000000"/>
          <w:sz w:val="21"/>
          <w:szCs w:val="21"/>
        </w:rPr>
        <w:t>36.311(a).)</w:t>
      </w:r>
    </w:p>
    <w:p w:rsidR="00406A33" w:rsidRPr="00724CF8" w:rsidRDefault="00406A33" w:rsidP="00406A33">
      <w:pPr>
        <w:spacing w:before="240"/>
        <w:rPr>
          <w:rFonts w:ascii="Avenir Book" w:hAnsi="Avenir Book"/>
          <w:sz w:val="21"/>
          <w:szCs w:val="21"/>
        </w:rPr>
      </w:pPr>
      <w:r w:rsidRPr="00724CF8">
        <w:rPr>
          <w:rFonts w:ascii="Avenir Book" w:hAnsi="Avenir Book"/>
          <w:color w:val="000000"/>
          <w:sz w:val="21"/>
          <w:szCs w:val="21"/>
        </w:rPr>
        <w:t xml:space="preserve">As a result of the 2010 amendments, the ADA now also addresses the use of power-driven mobility devices that are not wheelchairs. </w:t>
      </w:r>
      <w:r w:rsidRPr="00724CF8">
        <w:rPr>
          <w:rFonts w:ascii="Avenir Book" w:hAnsi="Avenir Book"/>
          <w:color w:val="000000"/>
          <w:sz w:val="21"/>
          <w:szCs w:val="21"/>
          <w:shd w:val="clear" w:color="auto" w:fill="FFFFFF"/>
        </w:rPr>
        <w:t xml:space="preserve">An “other power-driven mobility device” is any mobility device powered by batteries, fuel, or other engines – whether or not designed primarily for use by individuals with mobility disabilities – that is used by individuals with mobility disabilities for the purpose of locomotion. (28 C.F.R. </w:t>
      </w:r>
      <w:r w:rsidRPr="00724CF8">
        <w:rPr>
          <w:rFonts w:ascii="Avenir Book" w:hAnsi="Avenir Book"/>
          <w:color w:val="000000"/>
          <w:sz w:val="21"/>
          <w:szCs w:val="21"/>
        </w:rPr>
        <w:t xml:space="preserve">§ </w:t>
      </w:r>
      <w:r w:rsidRPr="00724CF8">
        <w:rPr>
          <w:rFonts w:ascii="Avenir Book" w:hAnsi="Avenir Book"/>
          <w:color w:val="000000"/>
          <w:sz w:val="21"/>
          <w:szCs w:val="21"/>
          <w:shd w:val="clear" w:color="auto" w:fill="FFFFFF"/>
        </w:rPr>
        <w:t>36.104.) This includes golf cars, electronic personal assistance mobility devices (EPAMDs), such as the Segway® PT, or any mobility device designed to operate in areas without defined pedestrian routes, but that is not a wheelchair within the meaning of the ADA.  (Id.)</w:t>
      </w:r>
    </w:p>
    <w:p w:rsidR="00406A33" w:rsidRPr="00724CF8" w:rsidRDefault="00406A33" w:rsidP="00B10F8F">
      <w:pPr>
        <w:jc w:val="center"/>
        <w:rPr>
          <w:rFonts w:ascii="Avenir Book" w:hAnsi="Avenir Book"/>
          <w:sz w:val="21"/>
          <w:szCs w:val="21"/>
        </w:rPr>
      </w:pPr>
      <w:r w:rsidRPr="00724CF8">
        <w:rPr>
          <w:rFonts w:ascii="Avenir Book" w:hAnsi="Avenir Book"/>
          <w:noProof/>
          <w:sz w:val="21"/>
          <w:szCs w:val="21"/>
        </w:rPr>
        <w:drawing>
          <wp:inline distT="0" distB="0" distL="0" distR="0">
            <wp:extent cx="2858135" cy="2138147"/>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allar\AppData\Local\Microsoft\Windows\Temporary Internet Files\Content.Outlook\UTVE1MWB\opdmd-p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93341" cy="2164484"/>
                    </a:xfrm>
                    <a:prstGeom prst="rect">
                      <a:avLst/>
                    </a:prstGeom>
                    <a:noFill/>
                    <a:ln>
                      <a:noFill/>
                    </a:ln>
                  </pic:spPr>
                </pic:pic>
              </a:graphicData>
            </a:graphic>
          </wp:inline>
        </w:drawing>
      </w:r>
    </w:p>
    <w:p w:rsidR="00406A33" w:rsidRPr="00724CF8" w:rsidRDefault="00406A33" w:rsidP="00B10F8F">
      <w:pPr>
        <w:jc w:val="center"/>
        <w:rPr>
          <w:rFonts w:ascii="Avenir Book" w:hAnsi="Avenir Book"/>
          <w:sz w:val="21"/>
          <w:szCs w:val="21"/>
        </w:rPr>
      </w:pPr>
      <w:r w:rsidRPr="00724CF8">
        <w:rPr>
          <w:rFonts w:ascii="Avenir Book" w:hAnsi="Avenir Book"/>
          <w:sz w:val="21"/>
          <w:szCs w:val="21"/>
        </w:rPr>
        <w:t>(</w:t>
      </w:r>
      <w:proofErr w:type="gramStart"/>
      <w:r w:rsidRPr="00724CF8">
        <w:rPr>
          <w:rFonts w:ascii="Avenir Book" w:hAnsi="Avenir Book"/>
          <w:sz w:val="21"/>
          <w:szCs w:val="21"/>
        </w:rPr>
        <w:t>image</w:t>
      </w:r>
      <w:proofErr w:type="gramEnd"/>
      <w:r w:rsidRPr="00724CF8">
        <w:rPr>
          <w:rFonts w:ascii="Avenir Book" w:hAnsi="Avenir Book"/>
          <w:sz w:val="21"/>
          <w:szCs w:val="21"/>
        </w:rPr>
        <w:t xml:space="preserve"> from U.S. Department of Justice, ADA Requirements For Wheelchairs, Mobility Aids, and other Power-Driven Mobility Devices, available at http://www.ada.gov/opdmd.htm.)</w:t>
      </w:r>
    </w:p>
    <w:p w:rsidR="00406A33" w:rsidRPr="00724CF8" w:rsidRDefault="00406A33" w:rsidP="00B10F8F">
      <w:pPr>
        <w:shd w:val="clear" w:color="auto" w:fill="FFFFFF"/>
        <w:spacing w:before="150" w:after="120"/>
        <w:ind w:right="480"/>
        <w:rPr>
          <w:rFonts w:ascii="Avenir Book" w:hAnsi="Avenir Book"/>
          <w:color w:val="000000"/>
          <w:sz w:val="21"/>
          <w:szCs w:val="21"/>
        </w:rPr>
      </w:pPr>
      <w:r w:rsidRPr="00724CF8">
        <w:rPr>
          <w:rFonts w:ascii="Avenir Book" w:hAnsi="Avenir Book"/>
          <w:color w:val="000000"/>
          <w:sz w:val="21"/>
          <w:szCs w:val="21"/>
        </w:rPr>
        <w:t xml:space="preserve">A public accommodation must make reasonable modifications in its policies, practices, or procedures to permit the use of other power-driven mobility devices by individuals with mobility disabilities, unless the public accommodation can demonstrate that the class of other power-driven mobility devices cannot be operated in accordance with legitimate safety requirements </w:t>
      </w:r>
      <w:r w:rsidRPr="00724CF8">
        <w:rPr>
          <w:rFonts w:ascii="Avenir Book" w:hAnsi="Avenir Book"/>
          <w:color w:val="000000"/>
          <w:sz w:val="21"/>
          <w:szCs w:val="21"/>
        </w:rPr>
        <w:lastRenderedPageBreak/>
        <w:t>that the public accommodation has adopted pursuant to § 36.301(b).</w:t>
      </w:r>
      <w:r w:rsidRPr="00724CF8">
        <w:rPr>
          <w:rStyle w:val="FootnoteReference"/>
          <w:rFonts w:ascii="Avenir Book" w:hAnsi="Avenir Book"/>
          <w:color w:val="000000"/>
          <w:sz w:val="21"/>
          <w:szCs w:val="21"/>
        </w:rPr>
        <w:footnoteReference w:id="4"/>
      </w:r>
      <w:r w:rsidRPr="00724CF8">
        <w:rPr>
          <w:rFonts w:ascii="Avenir Book" w:hAnsi="Avenir Book"/>
          <w:color w:val="000000"/>
          <w:sz w:val="21"/>
          <w:szCs w:val="21"/>
        </w:rPr>
        <w:t xml:space="preserve"> (28 C.F.R. § 36.311(b).) A public accommodation may assess the following five factors in order to determine whether any particular “other power-driven mobility device” can be allowed in a facility as a reasonable modification:</w:t>
      </w:r>
    </w:p>
    <w:p w:rsidR="00406A33" w:rsidRPr="00724CF8" w:rsidRDefault="00406A33" w:rsidP="009C019B">
      <w:pPr>
        <w:pStyle w:val="ListParagraph"/>
        <w:numPr>
          <w:ilvl w:val="0"/>
          <w:numId w:val="30"/>
        </w:num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The type, size, weight, dimensions, and speed of the device;</w:t>
      </w:r>
    </w:p>
    <w:p w:rsidR="00406A33" w:rsidRPr="00724CF8" w:rsidRDefault="00406A33" w:rsidP="009C019B">
      <w:pPr>
        <w:pStyle w:val="ListParagraph"/>
        <w:numPr>
          <w:ilvl w:val="0"/>
          <w:numId w:val="30"/>
        </w:num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The facility’s volume of pedestrian traffic (which may vary at different times of the day, week, month, or year);</w:t>
      </w:r>
    </w:p>
    <w:p w:rsidR="00406A33" w:rsidRPr="00724CF8" w:rsidRDefault="00406A33" w:rsidP="009C019B">
      <w:pPr>
        <w:pStyle w:val="ListParagraph"/>
        <w:numPr>
          <w:ilvl w:val="0"/>
          <w:numId w:val="30"/>
        </w:num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The facility’s design and operational characteristics (</w:t>
      </w:r>
      <w:r w:rsidRPr="00724CF8">
        <w:rPr>
          <w:rStyle w:val="Emphasis"/>
          <w:rFonts w:ascii="Avenir Book" w:hAnsi="Avenir Book"/>
          <w:i w:val="0"/>
          <w:iCs w:val="0"/>
          <w:color w:val="000000"/>
          <w:sz w:val="21"/>
          <w:szCs w:val="21"/>
        </w:rPr>
        <w:t>e.g.</w:t>
      </w:r>
      <w:r w:rsidRPr="00724CF8">
        <w:rPr>
          <w:rFonts w:ascii="Avenir Book" w:hAnsi="Avenir Book"/>
          <w:color w:val="000000"/>
          <w:sz w:val="21"/>
          <w:szCs w:val="21"/>
        </w:rPr>
        <w:t>, whether its business is conducted indoors, its square footage, the density and placement of stationary devices, and the availability of storage for the device, if requested by the user);</w:t>
      </w:r>
    </w:p>
    <w:p w:rsidR="00406A33" w:rsidRPr="00724CF8" w:rsidRDefault="00406A33" w:rsidP="009C019B">
      <w:pPr>
        <w:pStyle w:val="ListParagraph"/>
        <w:numPr>
          <w:ilvl w:val="0"/>
          <w:numId w:val="30"/>
        </w:num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Whether legitimate safety requirements can be established to permit the safe operation of the other power-driven mobility device in the specific facility; and</w:t>
      </w:r>
    </w:p>
    <w:p w:rsidR="00406A33" w:rsidRPr="00724CF8" w:rsidRDefault="00406A33" w:rsidP="009C019B">
      <w:pPr>
        <w:pStyle w:val="ListParagraph"/>
        <w:numPr>
          <w:ilvl w:val="0"/>
          <w:numId w:val="30"/>
        </w:num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Whether the use of the other power-driven mobility device creates a substantial risk of serious harm to the immediate environment or natural or cultural resources, or poses a conflict with Federal land management laws and regulations.</w:t>
      </w:r>
    </w:p>
    <w:p w:rsidR="00406A33" w:rsidRPr="00724CF8" w:rsidRDefault="00406A33" w:rsidP="009C019B">
      <w:p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(28 C.F.R. § 36.311(b)(2)(</w:t>
      </w:r>
      <w:proofErr w:type="spellStart"/>
      <w:r w:rsidRPr="00724CF8">
        <w:rPr>
          <w:rFonts w:ascii="Avenir Book" w:hAnsi="Avenir Book"/>
          <w:color w:val="000000"/>
          <w:sz w:val="21"/>
          <w:szCs w:val="21"/>
        </w:rPr>
        <w:t>i</w:t>
      </w:r>
      <w:proofErr w:type="spellEnd"/>
      <w:r w:rsidRPr="00724CF8">
        <w:rPr>
          <w:rFonts w:ascii="Avenir Book" w:hAnsi="Avenir Book"/>
          <w:color w:val="000000"/>
          <w:sz w:val="21"/>
          <w:szCs w:val="21"/>
        </w:rPr>
        <w:t>)-(v).) A public accommodation cannot ask an individual using a wheelchair or other power-driven mobility device questions about the nature and extent of the individual’s disability. (28 C.F.R. § 36.311(c)(1).) However, a public accommodation may ask a person using an other power-driven mobility device to provide a credible assurance that the mobility device is required because of the person’s disability. (28 C.F.R. § 36.311(c)(1).)</w:t>
      </w:r>
    </w:p>
    <w:p w:rsidR="00406A33" w:rsidRPr="00724CF8" w:rsidRDefault="00406A33" w:rsidP="009C019B">
      <w:pPr>
        <w:shd w:val="clear" w:color="auto" w:fill="FFFFFF"/>
        <w:spacing w:before="150" w:after="120"/>
        <w:ind w:right="720"/>
        <w:rPr>
          <w:rFonts w:ascii="Avenir Book" w:hAnsi="Avenir Book"/>
          <w:color w:val="000000"/>
          <w:sz w:val="21"/>
          <w:szCs w:val="21"/>
        </w:rPr>
      </w:pPr>
      <w:r w:rsidRPr="00724CF8">
        <w:rPr>
          <w:rFonts w:ascii="Avenir Book" w:hAnsi="Avenir Book"/>
          <w:color w:val="000000"/>
          <w:sz w:val="21"/>
          <w:szCs w:val="21"/>
        </w:rPr>
        <w:t xml:space="preserve">The federal regulations also confirm what constitutes a credible assurance for this purpose: </w:t>
      </w:r>
    </w:p>
    <w:p w:rsidR="00946E20" w:rsidRDefault="00406A33" w:rsidP="00946E20">
      <w:pPr>
        <w:pStyle w:val="Quote"/>
        <w:rPr>
          <w:rFonts w:ascii="Avenir Book" w:hAnsi="Avenir Book"/>
          <w:sz w:val="21"/>
          <w:szCs w:val="21"/>
        </w:rPr>
      </w:pPr>
      <w:r w:rsidRPr="00724CF8">
        <w:rPr>
          <w:rFonts w:ascii="Avenir Book" w:hAnsi="Avenir Book"/>
          <w:sz w:val="21"/>
          <w:szCs w:val="21"/>
        </w:rPr>
        <w:t>A public accommodation that permits the use of an other power-driven mobility device by an individual with a mobility disability shall accept the presentation of a valid, State-issued disability parking placard or card, or State-issued proof of disability, as a credible assurance that the use of the other power-driven mobility device is for the individual´s mobility disability. In lieu of a valid, State-issued disability parking placard or card, or State-issued proof of disability, a public accommodation shall accept as a credible assurance a verbal representation, not contradicted by observable fact, that the other power-driven mobility device is being used for a mobility disability. A “valid” disability placard or card is one that is presented by the individual to whom it was issued and is otherwise in compliance with the State of issuance’s requirements for disability placards or cards.</w:t>
      </w:r>
    </w:p>
    <w:p w:rsidR="00406A33" w:rsidRPr="00235605" w:rsidRDefault="00406A33" w:rsidP="00946E20">
      <w:pPr>
        <w:pStyle w:val="Quote"/>
        <w:ind w:left="0"/>
        <w:rPr>
          <w:rFonts w:ascii="Avenir Book" w:hAnsi="Avenir Book"/>
          <w:sz w:val="21"/>
          <w:szCs w:val="21"/>
        </w:rPr>
      </w:pPr>
      <w:r w:rsidRPr="00724CF8">
        <w:rPr>
          <w:rFonts w:ascii="Avenir Book" w:hAnsi="Avenir Book"/>
          <w:color w:val="000000"/>
          <w:sz w:val="21"/>
          <w:szCs w:val="21"/>
        </w:rPr>
        <w:t>(28 C.F.R. § 36.311(c)(2).)</w:t>
      </w:r>
      <w:r w:rsidRPr="00724CF8">
        <w:rPr>
          <w:rFonts w:ascii="Avenir Book" w:hAnsi="Avenir Book" w:cs="Arial"/>
          <w:color w:val="444444"/>
          <w:sz w:val="21"/>
          <w:szCs w:val="21"/>
          <w:shd w:val="clear" w:color="auto" w:fill="FFFFFF"/>
        </w:rPr>
        <w:t xml:space="preserve"> </w:t>
      </w:r>
      <w:r w:rsidRPr="00724CF8">
        <w:rPr>
          <w:rFonts w:ascii="Avenir Book" w:hAnsi="Avenir Book"/>
          <w:sz w:val="21"/>
          <w:szCs w:val="21"/>
        </w:rPr>
        <w:t xml:space="preserve">ADA guidance encourages businesses to develop written policies specifying when other power-driven mobility devices will be permitted on their premises and to communicate those policies to the public. (ADA Update: A Primer for Small Business, available at http://www.ada.gov/regs2010/smallbusiness/smallbusprimer2010.htm.) In keeping with this advice, various California parks have developed policies identifying the other power-driven mobility devices that may be used within specific facilities and </w:t>
      </w:r>
      <w:r w:rsidR="00093CB0">
        <w:rPr>
          <w:rFonts w:ascii="Avenir Book" w:hAnsi="Avenir Book"/>
          <w:sz w:val="21"/>
          <w:szCs w:val="21"/>
        </w:rPr>
        <w:t xml:space="preserve">on specific trails. (See, e.g., </w:t>
      </w:r>
      <w:r w:rsidRPr="00724CF8">
        <w:rPr>
          <w:rFonts w:ascii="Avenir Book" w:hAnsi="Avenir Book"/>
          <w:sz w:val="21"/>
          <w:szCs w:val="21"/>
        </w:rPr>
        <w:t>http://ocparks.com/parks/trails/adaa.</w:t>
      </w:r>
      <w:r w:rsidR="00093CB0">
        <w:rPr>
          <w:rFonts w:ascii="Avenir Book" w:hAnsi="Avenir Book"/>
          <w:sz w:val="21"/>
          <w:szCs w:val="21"/>
        </w:rPr>
        <w:t>)</w:t>
      </w:r>
    </w:p>
    <w:p w:rsidR="00406A33" w:rsidRPr="00724CF8" w:rsidRDefault="00406A33">
      <w:pPr>
        <w:rPr>
          <w:rFonts w:ascii="Avenir Book" w:hAnsi="Avenir Book"/>
          <w:sz w:val="21"/>
          <w:szCs w:val="21"/>
        </w:rPr>
      </w:pPr>
    </w:p>
    <w:p w:rsidR="00406A33" w:rsidRDefault="00406A33">
      <w:pPr>
        <w:rPr>
          <w:rFonts w:ascii="Avenir Book" w:hAnsi="Avenir Book"/>
          <w:sz w:val="21"/>
          <w:szCs w:val="21"/>
        </w:rPr>
      </w:pPr>
    </w:p>
    <w:p w:rsidR="00C44413" w:rsidRPr="00724CF8" w:rsidRDefault="00C44413">
      <w:pPr>
        <w:rPr>
          <w:rFonts w:ascii="Avenir Book" w:hAnsi="Avenir Book"/>
          <w:sz w:val="21"/>
          <w:szCs w:val="21"/>
        </w:rPr>
      </w:pPr>
    </w:p>
    <w:p w:rsidR="00C44413" w:rsidRDefault="00C44413">
      <w:pPr>
        <w:spacing w:after="200" w:line="276" w:lineRule="auto"/>
        <w:rPr>
          <w:rFonts w:ascii="Avenir Book" w:hAnsi="Avenir Book"/>
          <w:b/>
          <w:sz w:val="21"/>
          <w:szCs w:val="21"/>
        </w:rPr>
      </w:pPr>
      <w:r>
        <w:rPr>
          <w:rFonts w:ascii="Avenir Book" w:hAnsi="Avenir Book"/>
          <w:b/>
          <w:sz w:val="21"/>
          <w:szCs w:val="21"/>
        </w:rPr>
        <w:br w:type="page"/>
      </w:r>
    </w:p>
    <w:p w:rsidR="00406A33" w:rsidRPr="00D245AC" w:rsidRDefault="00D245AC" w:rsidP="00D245AC">
      <w:pPr>
        <w:pStyle w:val="OutlineL1"/>
        <w:tabs>
          <w:tab w:val="clear" w:pos="720"/>
          <w:tab w:val="num" w:pos="360"/>
        </w:tabs>
        <w:rPr>
          <w:rFonts w:ascii="Avenir Book" w:hAnsi="Avenir Book"/>
          <w:b/>
          <w:sz w:val="21"/>
          <w:szCs w:val="21"/>
        </w:rPr>
      </w:pPr>
      <w:r w:rsidRPr="00D245AC">
        <w:rPr>
          <w:rFonts w:ascii="Avenir Book" w:hAnsi="Avenir Book"/>
          <w:b/>
          <w:sz w:val="21"/>
          <w:szCs w:val="21"/>
        </w:rPr>
        <w:lastRenderedPageBreak/>
        <w:t xml:space="preserve">RESTROOMS </w:t>
      </w:r>
    </w:p>
    <w:p w:rsidR="00406A33" w:rsidRPr="00724CF8" w:rsidRDefault="00406A33" w:rsidP="00673D5F">
      <w:pPr>
        <w:pStyle w:val="OutlineL1"/>
        <w:numPr>
          <w:ilvl w:val="0"/>
          <w:numId w:val="0"/>
        </w:numPr>
        <w:rPr>
          <w:rFonts w:ascii="Avenir Book" w:hAnsi="Avenir Book"/>
          <w:color w:val="000000"/>
          <w:sz w:val="21"/>
          <w:szCs w:val="21"/>
          <w:shd w:val="clear" w:color="auto" w:fill="FFFFFF"/>
        </w:rPr>
      </w:pPr>
      <w:r w:rsidRPr="00724CF8">
        <w:rPr>
          <w:rFonts w:ascii="Avenir Book" w:hAnsi="Avenir Book"/>
          <w:sz w:val="21"/>
          <w:szCs w:val="21"/>
        </w:rPr>
        <w:t xml:space="preserve">If you provide restrooms for use by the public, you must comply with the ADAAG and CBC accessibility requirements for toilet facilities. (ADAAG 213.1; CBC 11B-213.1)  Accessible toilet facilities must be provided on an accessible route from an accessible entrance. (ADAAG </w:t>
      </w:r>
      <w:r w:rsidRPr="00724CF8">
        <w:rPr>
          <w:rFonts w:ascii="Avenir Book" w:hAnsi="Avenir Book"/>
          <w:color w:val="000000"/>
          <w:sz w:val="21"/>
          <w:szCs w:val="21"/>
          <w:shd w:val="clear" w:color="auto" w:fill="FFFFFF"/>
        </w:rPr>
        <w:t>206.2.2; CBC 11B-206.2.2.) Accessible restrooms are often the subject of third party lawsuits for access violations.</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Where toilet compartments (i.e., stalls) are provided, at least one toilet compartment shall comply with wheelchair accessibility requirements. (ADAAG 213.3.1; CBC 11B-213.3.1.) When six or more toilet compartments are provided, or where the combination of urinals and water closets totals six or more fixtures, a public accommodation must also provide an additional accessible toilet compartment that is compliant with the ambulatory accessibility requirements of ADAAG 604.8.2 and CBC 11B-604.8.2. (Id.)</w:t>
      </w:r>
    </w:p>
    <w:p w:rsidR="00406A33" w:rsidRPr="00D960F9" w:rsidRDefault="00406A33" w:rsidP="00673D5F">
      <w:pPr>
        <w:pStyle w:val="OutlineL1"/>
        <w:numPr>
          <w:ilvl w:val="0"/>
          <w:numId w:val="0"/>
        </w:numPr>
        <w:jc w:val="center"/>
        <w:rPr>
          <w:rFonts w:ascii="Avenir Book" w:hAnsi="Avenir Book"/>
          <w:b/>
          <w:sz w:val="21"/>
          <w:szCs w:val="21"/>
        </w:rPr>
      </w:pPr>
      <w:r w:rsidRPr="00D960F9">
        <w:rPr>
          <w:rFonts w:ascii="Avenir Book" w:hAnsi="Avenir Book"/>
          <w:b/>
          <w:sz w:val="21"/>
          <w:szCs w:val="21"/>
          <w:shd w:val="clear" w:color="auto" w:fill="FFFFFF"/>
        </w:rPr>
        <w:t>ADAAG Figure 604.2 Water Closet Location</w:t>
      </w:r>
    </w:p>
    <w:p w:rsidR="00406A33" w:rsidRPr="00724CF8" w:rsidRDefault="00E00071" w:rsidP="00673D5F">
      <w:pPr>
        <w:pStyle w:val="OutlineL1"/>
        <w:numPr>
          <w:ilvl w:val="0"/>
          <w:numId w:val="0"/>
        </w:numPr>
        <w:jc w:val="center"/>
        <w:rPr>
          <w:rFonts w:ascii="Avenir Book" w:hAnsi="Avenir Book"/>
          <w:color w:val="000000"/>
          <w:sz w:val="21"/>
          <w:szCs w:val="21"/>
        </w:rPr>
      </w:pPr>
      <w:hyperlink r:id="rId16" w:history="1">
        <w:r w:rsidR="00406A33" w:rsidRPr="00724CF8">
          <w:rPr>
            <w:rFonts w:ascii="Avenir Book" w:hAnsi="Avenir Book"/>
            <w:color w:val="1D4579"/>
            <w:sz w:val="21"/>
            <w:szCs w:val="21"/>
            <w:u w:val="single"/>
            <w:bdr w:val="none" w:sz="0" w:space="0" w:color="auto" w:frame="1"/>
          </w:rPr>
          <w:br/>
        </w:r>
        <w:r w:rsidR="00406A33" w:rsidRPr="00724CF8">
          <w:rPr>
            <w:rFonts w:ascii="Avenir Book" w:hAnsi="Avenir Book"/>
            <w:noProof/>
            <w:color w:val="1D4579"/>
            <w:sz w:val="21"/>
            <w:szCs w:val="21"/>
            <w:bdr w:val="none" w:sz="0" w:space="0" w:color="auto" w:frame="1"/>
          </w:rPr>
          <w:drawing>
            <wp:inline distT="0" distB="0" distL="0" distR="0">
              <wp:extent cx="3746500" cy="3260923"/>
              <wp:effectExtent l="0" t="0" r="6350" b="0"/>
              <wp:docPr id="28" name="Picture 2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ure (a) shows a wheelchair accessible water closet, with space on one side, and figure (b) shows an ambulatory accessible water closet, with stall walls and grab bars on both sides.  The water closet centerline is shown to be 16 to 18 inches (405 to 455 mm) from the side wall.">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46500" cy="3260923"/>
                      </a:xfrm>
                      <a:prstGeom prst="rect">
                        <a:avLst/>
                      </a:prstGeom>
                      <a:noFill/>
                      <a:ln>
                        <a:noFill/>
                      </a:ln>
                    </pic:spPr>
                  </pic:pic>
                </a:graphicData>
              </a:graphic>
            </wp:inline>
          </w:drawing>
        </w:r>
      </w:hyperlink>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shd w:val="clear" w:color="auto" w:fill="FFFFFF"/>
        </w:rPr>
        <w:t xml:space="preserve">The regulations do provide certain exceptions to general requirements for alterations where it is technically infeasible to comply, as well as exceptions for multiple single user toilet rooms, whether permanent or temporary. (ADAAG 213.2; CBC 11B-213.2.) The regulations also detail specific requirements for unisex toilet rooms. (ADAAG 213.2.1; CBC 11B-213.2.1.) </w:t>
      </w:r>
    </w:p>
    <w:p w:rsidR="00E61534" w:rsidRPr="00724CF8" w:rsidRDefault="00406A33" w:rsidP="00235605">
      <w:pPr>
        <w:pStyle w:val="OutlineL1"/>
        <w:numPr>
          <w:ilvl w:val="0"/>
          <w:numId w:val="0"/>
        </w:numPr>
        <w:rPr>
          <w:rFonts w:ascii="Avenir Book" w:hAnsi="Avenir Book"/>
          <w:sz w:val="21"/>
          <w:szCs w:val="21"/>
        </w:rPr>
      </w:pPr>
      <w:r w:rsidRPr="00724CF8">
        <w:rPr>
          <w:rFonts w:ascii="Avenir Book" w:hAnsi="Avenir Book"/>
          <w:sz w:val="21"/>
          <w:szCs w:val="21"/>
        </w:rPr>
        <w:t xml:space="preserve">Generally speaking, when a certain feature or fixture is provided in a toilet facility, at least one of that feature or fixture must be accessible. (See, e.g., ADAAG 213.3.2 and CBC 11B-213.3.2 (water closets), ADAAG 213.3.4 and CBC 11B-213.3.4 (lavatories), ADAAG 213.3.5 and CBC </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lastRenderedPageBreak/>
        <w:t xml:space="preserve">11-B 213.3.5 (mirrors), and ADAAG 213.3.7 and CBC 11B-213.3.7 (coat hooks and shelves). However, there are exceptions. For example, an accessible urinal is not required unless more than one urinal is provided. (ADAAG 213.3.3; CBC 11B-213.3.3.) </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 xml:space="preserve">When an existing restroom does not comply with accessibility requirements, directional signs compliant with accessibility requirements indicating the location of the nearest accessible restroom must be provided. (ADAAG 216.8; CBC 11B 216.8.) </w:t>
      </w:r>
      <w:r w:rsidRPr="00724CF8">
        <w:rPr>
          <w:rFonts w:ascii="Avenir Book" w:hAnsi="Avenir Book"/>
          <w:color w:val="000000"/>
          <w:sz w:val="21"/>
          <w:szCs w:val="21"/>
          <w:shd w:val="clear" w:color="auto" w:fill="FFFFFF"/>
        </w:rPr>
        <w:t>Where existing toilet rooms do not comply with accessibility requirements, those toilet rooms that do comply must be identified by the International Symbol of Accessibility.  (Id.) Where clustered single user toilet rooms are permitted to use exceptions to ADAAG requirements, toilet rooms complying with ADAAG requirements shall be identified by the International Symbol of Accessibility unless all toilet rooms comply with ADAAG requirements. (Id.)</w:t>
      </w:r>
    </w:p>
    <w:p w:rsidR="00406A33" w:rsidRPr="00724CF8" w:rsidRDefault="00406A33" w:rsidP="00673D5F">
      <w:pPr>
        <w:pStyle w:val="OutlineL1"/>
        <w:numPr>
          <w:ilvl w:val="0"/>
          <w:numId w:val="0"/>
        </w:numPr>
        <w:rPr>
          <w:rFonts w:ascii="Avenir Book" w:hAnsi="Avenir Book"/>
          <w:sz w:val="21"/>
          <w:szCs w:val="21"/>
        </w:rPr>
      </w:pPr>
      <w:r w:rsidRPr="00724CF8">
        <w:rPr>
          <w:rFonts w:ascii="Avenir Book" w:hAnsi="Avenir Book"/>
          <w:sz w:val="21"/>
          <w:szCs w:val="21"/>
        </w:rPr>
        <w:t xml:space="preserve">ADAAG section 603, and the corresponding CBC section 11B-603 identify the specific technical requirements that apply to accessible restrooms, including the requirements </w:t>
      </w:r>
      <w:r w:rsidRPr="00724CF8">
        <w:rPr>
          <w:rFonts w:ascii="Avenir Book" w:hAnsi="Avenir Book"/>
          <w:color w:val="000000"/>
          <w:sz w:val="21"/>
          <w:szCs w:val="21"/>
        </w:rPr>
        <w:t>for water closets, urinals, grab bars, lavatories, dispensers, mirrors, sinks, coat hooks and shelves</w:t>
      </w:r>
      <w:r w:rsidRPr="00724CF8">
        <w:rPr>
          <w:rFonts w:ascii="Avenir Book" w:hAnsi="Avenir Book"/>
          <w:sz w:val="21"/>
          <w:szCs w:val="21"/>
        </w:rPr>
        <w:t>. The accessible restroom requirements are detailed, as well as feature and fixture dependent. The ADAAG and CBC should be consulted to determine the particular compliance requirements for public restrooms provided in your business.</w:t>
      </w:r>
    </w:p>
    <w:p w:rsidR="00406A33" w:rsidRPr="00724CF8" w:rsidRDefault="00406A33" w:rsidP="00673D5F">
      <w:pPr>
        <w:pStyle w:val="OutlineL1"/>
        <w:numPr>
          <w:ilvl w:val="0"/>
          <w:numId w:val="0"/>
        </w:numPr>
        <w:rPr>
          <w:rFonts w:ascii="Avenir Book" w:hAnsi="Avenir Book"/>
          <w:sz w:val="21"/>
          <w:szCs w:val="21"/>
        </w:rPr>
      </w:pPr>
    </w:p>
    <w:p w:rsidR="00406A33" w:rsidRPr="00724CF8" w:rsidRDefault="00406A33">
      <w:pPr>
        <w:spacing w:after="200" w:line="276" w:lineRule="auto"/>
        <w:rPr>
          <w:rFonts w:ascii="Avenir Book" w:hAnsi="Avenir Book"/>
          <w:sz w:val="21"/>
          <w:szCs w:val="21"/>
        </w:rPr>
      </w:pPr>
      <w:r w:rsidRPr="00724CF8">
        <w:rPr>
          <w:rFonts w:ascii="Avenir Book" w:hAnsi="Avenir Book"/>
          <w:sz w:val="21"/>
          <w:szCs w:val="21"/>
        </w:rPr>
        <w:br w:type="page"/>
      </w:r>
    </w:p>
    <w:p w:rsidR="00406A33" w:rsidRPr="00D245AC" w:rsidRDefault="00D245AC" w:rsidP="00D245AC">
      <w:pPr>
        <w:pStyle w:val="OutlineL1"/>
        <w:tabs>
          <w:tab w:val="clear" w:pos="720"/>
          <w:tab w:val="num" w:pos="360"/>
        </w:tabs>
        <w:rPr>
          <w:rFonts w:ascii="Avenir Book" w:hAnsi="Avenir Book"/>
          <w:b/>
          <w:sz w:val="21"/>
          <w:szCs w:val="21"/>
        </w:rPr>
      </w:pPr>
      <w:r>
        <w:rPr>
          <w:rFonts w:ascii="Avenir Book" w:hAnsi="Avenir Book"/>
          <w:b/>
          <w:sz w:val="21"/>
          <w:szCs w:val="21"/>
        </w:rPr>
        <w:lastRenderedPageBreak/>
        <w:t xml:space="preserve">  </w:t>
      </w:r>
      <w:r w:rsidRPr="00D245AC">
        <w:rPr>
          <w:rFonts w:ascii="Avenir Book" w:hAnsi="Avenir Book"/>
          <w:b/>
          <w:sz w:val="21"/>
          <w:szCs w:val="21"/>
        </w:rPr>
        <w:t>TRANSACTION AND POINT OF SALE ISSUES</w:t>
      </w:r>
    </w:p>
    <w:p w:rsidR="00406A33" w:rsidRPr="00724CF8" w:rsidRDefault="00406A33" w:rsidP="006B1740">
      <w:pPr>
        <w:rPr>
          <w:rFonts w:ascii="Avenir Book" w:hAnsi="Avenir Book"/>
          <w:sz w:val="21"/>
          <w:szCs w:val="21"/>
        </w:rPr>
      </w:pPr>
      <w:r w:rsidRPr="00724CF8">
        <w:rPr>
          <w:rFonts w:ascii="Avenir Book" w:hAnsi="Avenir Book"/>
          <w:sz w:val="21"/>
          <w:szCs w:val="21"/>
        </w:rPr>
        <w:t>The information below is intended to address transaction and point of sale obligations frequently present in grocery stores.</w:t>
      </w:r>
    </w:p>
    <w:p w:rsidR="00406A33" w:rsidRPr="00724CF8" w:rsidRDefault="00406A33" w:rsidP="006B1740">
      <w:pPr>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Check-Out Aisles and Sales and Service Counters</w:t>
      </w:r>
    </w:p>
    <w:p w:rsidR="00406A33" w:rsidRPr="00724CF8" w:rsidRDefault="00406A33" w:rsidP="006B1740">
      <w:pPr>
        <w:shd w:val="clear" w:color="auto" w:fill="FFFFFF"/>
        <w:spacing w:before="100" w:beforeAutospacing="1" w:after="100" w:afterAutospacing="1"/>
        <w:rPr>
          <w:rFonts w:ascii="Avenir Book" w:hAnsi="Avenir Book"/>
          <w:sz w:val="21"/>
          <w:szCs w:val="21"/>
        </w:rPr>
      </w:pPr>
      <w:r w:rsidRPr="00724CF8">
        <w:rPr>
          <w:rFonts w:ascii="Avenir Book" w:hAnsi="Avenir Book"/>
          <w:sz w:val="21"/>
          <w:szCs w:val="21"/>
        </w:rPr>
        <w:t xml:space="preserve">Check-out aisles and sales and service counters must comply with accessibility requirements. (ADAAG 904.1; CBC 11B-904.1.)  Federal law requires that </w:t>
      </w:r>
      <w:r w:rsidRPr="00724CF8">
        <w:rPr>
          <w:rFonts w:ascii="Avenir Book" w:hAnsi="Avenir Book"/>
          <w:color w:val="000000"/>
          <w:sz w:val="21"/>
          <w:szCs w:val="21"/>
        </w:rPr>
        <w:t>a store with check-out aisles ensure an adequate number of accessible check-out aisles are kept open during store hours, or otherwise modify its policies and practices in order to ensure that an equivalent level of convenient service is provided to individuals with disabilities as is provided to others. (28 C.F.R. § 36.302(d).)</w:t>
      </w:r>
    </w:p>
    <w:p w:rsidR="00406A33" w:rsidRPr="00724CF8" w:rsidRDefault="00406A33" w:rsidP="00B7322C">
      <w:pPr>
        <w:rPr>
          <w:rFonts w:ascii="Avenir Book" w:hAnsi="Avenir Book"/>
          <w:sz w:val="21"/>
          <w:szCs w:val="21"/>
        </w:rPr>
      </w:pPr>
      <w:r w:rsidRPr="00724CF8">
        <w:rPr>
          <w:rFonts w:ascii="Avenir Book" w:hAnsi="Avenir Book"/>
          <w:color w:val="000000"/>
          <w:sz w:val="21"/>
          <w:szCs w:val="21"/>
          <w:shd w:val="clear" w:color="auto" w:fill="FFFFFF"/>
        </w:rPr>
        <w:t>Where more than one check-out aisle is provided, accessible check-out aisles complying must be identified by a compliant International Symbol of Accessibility.  (ADAAG 216.11; CBC 11B-216.11.)  Where check-out aisles are identified by numbers, letters, or functions, the signs identifying accessible check-out aisles must be located in the same location as the check-out aisle identification. (Id.) Such signs must also meet accessibility requirements. (Id.) However, if all check-out aisles serving a single function comply with accessibility requirements, no compliant International Symbol of Accessibility is required. (Id.)</w:t>
      </w:r>
      <w:r w:rsidRPr="00724CF8">
        <w:rPr>
          <w:rFonts w:ascii="Avenir Book" w:hAnsi="Avenir Book"/>
          <w:color w:val="000000"/>
          <w:sz w:val="21"/>
          <w:szCs w:val="21"/>
        </w:rPr>
        <w:t xml:space="preserve"> </w:t>
      </w:r>
    </w:p>
    <w:p w:rsidR="00406A33" w:rsidRPr="00724CF8" w:rsidRDefault="00406A33" w:rsidP="00B35A7C">
      <w:pPr>
        <w:shd w:val="clear" w:color="auto" w:fill="FFFFFF"/>
        <w:spacing w:before="100" w:beforeAutospacing="1" w:after="100" w:afterAutospacing="1"/>
        <w:rPr>
          <w:rFonts w:ascii="Avenir Book" w:hAnsi="Avenir Book"/>
          <w:noProof/>
          <w:sz w:val="21"/>
          <w:szCs w:val="21"/>
        </w:rPr>
      </w:pPr>
      <w:r w:rsidRPr="00724CF8">
        <w:rPr>
          <w:rFonts w:ascii="Avenir Book" w:hAnsi="Avenir Book"/>
          <w:color w:val="000000"/>
          <w:sz w:val="21"/>
          <w:szCs w:val="21"/>
        </w:rPr>
        <w:t>If only one check-out aisle is accessible, and it is generally used for express service, one way of providing equivalent service is to allow persons with mobility impairments to make all their purchases at that aisle, regardless of number of items. (28 C.F.R. § 36.302(d).)</w:t>
      </w: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r w:rsidRPr="00724CF8">
        <w:rPr>
          <w:rFonts w:ascii="Avenir Book" w:hAnsi="Avenir Book"/>
          <w:noProof/>
          <w:sz w:val="21"/>
          <w:szCs w:val="21"/>
        </w:rPr>
        <w:t>The particular technical requirements for accessible check-out aisles and sales and service counters are detailed in the ADAAG and CBC. (See, e.g., ADAAG 403, 904; CBC 11B-403, 11B-904.) These requirements address acceptable depths, lengths, and heights for counters and check-writing surfaces, as well as acceptable approach and clear floor or ground space requirements. Accessible check-out aisles and sales and service counters must also comply with applicable requirements for accessible walking surfaces, including the slope and width requirements.  (ADAAG 403; CBC 11B-403.)</w:t>
      </w: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724CF8" w:rsidRDefault="00406A33" w:rsidP="006B1740">
      <w:pPr>
        <w:shd w:val="clear" w:color="auto" w:fill="FFFFFF"/>
        <w:spacing w:before="100" w:beforeAutospacing="1" w:after="100" w:afterAutospacing="1"/>
        <w:rPr>
          <w:rFonts w:ascii="Avenir Book" w:hAnsi="Avenir Book"/>
          <w:noProof/>
          <w:sz w:val="21"/>
          <w:szCs w:val="21"/>
        </w:rPr>
      </w:pPr>
    </w:p>
    <w:p w:rsidR="00406A33" w:rsidRPr="00D960F9" w:rsidRDefault="00406A33" w:rsidP="00B7322C">
      <w:pPr>
        <w:jc w:val="center"/>
        <w:rPr>
          <w:rFonts w:ascii="Avenir Book" w:hAnsi="Avenir Book"/>
          <w:b/>
          <w:sz w:val="21"/>
          <w:szCs w:val="21"/>
        </w:rPr>
      </w:pPr>
      <w:r w:rsidRPr="00D960F9">
        <w:rPr>
          <w:rFonts w:ascii="Avenir Book" w:hAnsi="Avenir Book"/>
          <w:b/>
          <w:color w:val="000000"/>
          <w:sz w:val="21"/>
          <w:szCs w:val="21"/>
          <w:shd w:val="clear" w:color="auto" w:fill="FFFFFF"/>
        </w:rPr>
        <w:t>ADAAG Figure 904.3.2 Check-Out Aisle Counters</w:t>
      </w:r>
    </w:p>
    <w:p w:rsidR="00406A33" w:rsidRPr="00724CF8" w:rsidRDefault="00406A33" w:rsidP="00C00E04">
      <w:pPr>
        <w:shd w:val="clear" w:color="auto" w:fill="FFFFFF"/>
        <w:spacing w:before="100" w:beforeAutospacing="1" w:after="100" w:afterAutospacing="1"/>
        <w:jc w:val="center"/>
        <w:rPr>
          <w:rFonts w:ascii="Avenir Book" w:hAnsi="Avenir Book"/>
          <w:color w:val="000000"/>
          <w:sz w:val="21"/>
          <w:szCs w:val="21"/>
        </w:rPr>
      </w:pPr>
      <w:r w:rsidRPr="00724CF8">
        <w:rPr>
          <w:rFonts w:ascii="Avenir Book" w:hAnsi="Avenir Book"/>
          <w:noProof/>
          <w:color w:val="000000"/>
          <w:sz w:val="21"/>
          <w:szCs w:val="21"/>
        </w:rPr>
        <w:lastRenderedPageBreak/>
        <w:drawing>
          <wp:inline distT="0" distB="0" distL="0" distR="0">
            <wp:extent cx="2615565" cy="2315210"/>
            <wp:effectExtent l="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15565" cy="2315210"/>
                    </a:xfrm>
                    <a:prstGeom prst="rect">
                      <a:avLst/>
                    </a:prstGeom>
                    <a:noFill/>
                    <a:ln>
                      <a:noFill/>
                    </a:ln>
                  </pic:spPr>
                </pic:pic>
              </a:graphicData>
            </a:graphic>
          </wp:inline>
        </w:drawing>
      </w:r>
    </w:p>
    <w:p w:rsidR="00406A33" w:rsidRPr="00D960F9" w:rsidRDefault="00406A33" w:rsidP="004D2643">
      <w:pPr>
        <w:pStyle w:val="OutlineL2"/>
        <w:tabs>
          <w:tab w:val="clear" w:pos="1440"/>
          <w:tab w:val="left" w:pos="1080"/>
        </w:tabs>
        <w:rPr>
          <w:rFonts w:ascii="Avenir Book" w:hAnsi="Avenir Book"/>
          <w:b/>
          <w:sz w:val="21"/>
          <w:szCs w:val="21"/>
        </w:rPr>
      </w:pPr>
      <w:r w:rsidRPr="00D960F9">
        <w:rPr>
          <w:rFonts w:ascii="Avenir Book" w:hAnsi="Avenir Book"/>
          <w:b/>
          <w:sz w:val="21"/>
          <w:szCs w:val="21"/>
        </w:rPr>
        <w:t>Point-of-Sale Devices</w:t>
      </w:r>
    </w:p>
    <w:p w:rsidR="00406A33" w:rsidRPr="00724CF8" w:rsidRDefault="00406A33" w:rsidP="004D2643">
      <w:pPr>
        <w:tabs>
          <w:tab w:val="left" w:pos="1080"/>
        </w:tabs>
        <w:spacing w:after="200"/>
        <w:rPr>
          <w:rFonts w:ascii="Avenir Book" w:hAnsi="Avenir Book"/>
          <w:sz w:val="21"/>
          <w:szCs w:val="21"/>
        </w:rPr>
      </w:pPr>
      <w:r w:rsidRPr="00724CF8">
        <w:rPr>
          <w:rFonts w:ascii="Avenir Book" w:hAnsi="Avenir Book"/>
          <w:sz w:val="21"/>
          <w:szCs w:val="21"/>
        </w:rPr>
        <w:t xml:space="preserve">Federal law does not currently contain specific technical standards related to point-of-sale devices or tactile keypads. However, in 2004, California’s legislature passed AB 2312, which added provisions to California’s Financial Code regarding the accessibility features of point-of-sale devices. (Cal. Fin. Code § 13082, et seq.) </w:t>
      </w:r>
    </w:p>
    <w:p w:rsidR="00406A33" w:rsidRPr="00724CF8" w:rsidRDefault="00406A33" w:rsidP="004D2643">
      <w:pPr>
        <w:tabs>
          <w:tab w:val="left" w:pos="1080"/>
        </w:tabs>
        <w:spacing w:after="200"/>
        <w:rPr>
          <w:rFonts w:ascii="Avenir Book" w:hAnsi="Avenir Book"/>
          <w:sz w:val="21"/>
          <w:szCs w:val="21"/>
        </w:rPr>
      </w:pPr>
      <w:r w:rsidRPr="00724CF8">
        <w:rPr>
          <w:rFonts w:ascii="Avenir Book" w:hAnsi="Avenir Book"/>
          <w:sz w:val="21"/>
          <w:szCs w:val="21"/>
        </w:rPr>
        <w:t xml:space="preserve">When point-of-sale devices are provided at check stands and sales and service counters, they must comply with CBC requirements pertaining to video touch screens and tactile keypads (11B-707.9.1), clear floor or ground space (CBC 11B-707.2), operable parts (CBC 11B-707.3), and privacy (CBC 11B-707.4). </w:t>
      </w:r>
    </w:p>
    <w:p w:rsidR="00406A33" w:rsidRPr="00D960F9" w:rsidRDefault="00406A33" w:rsidP="004D2643">
      <w:pPr>
        <w:pStyle w:val="OutlineL2"/>
        <w:tabs>
          <w:tab w:val="clear" w:pos="1440"/>
          <w:tab w:val="left" w:pos="1080"/>
        </w:tabs>
        <w:rPr>
          <w:rFonts w:ascii="Avenir Book" w:hAnsi="Avenir Book"/>
          <w:b/>
          <w:sz w:val="21"/>
          <w:szCs w:val="21"/>
        </w:rPr>
      </w:pPr>
      <w:r w:rsidRPr="00D960F9">
        <w:rPr>
          <w:rFonts w:ascii="Avenir Book" w:hAnsi="Avenir Book"/>
          <w:b/>
          <w:sz w:val="21"/>
          <w:szCs w:val="21"/>
        </w:rPr>
        <w:t>Store Cards</w:t>
      </w:r>
    </w:p>
    <w:p w:rsidR="00406A33" w:rsidRPr="00724CF8" w:rsidRDefault="00406A33" w:rsidP="004D2643">
      <w:pPr>
        <w:spacing w:after="200"/>
        <w:rPr>
          <w:rFonts w:ascii="Avenir Book" w:hAnsi="Avenir Book"/>
          <w:sz w:val="21"/>
          <w:szCs w:val="21"/>
        </w:rPr>
      </w:pPr>
      <w:r w:rsidRPr="00724CF8">
        <w:rPr>
          <w:rFonts w:ascii="Avenir Book" w:hAnsi="Avenir Book"/>
          <w:sz w:val="21"/>
          <w:szCs w:val="21"/>
        </w:rPr>
        <w:t xml:space="preserve">Disabled individuals with vision impairments may have difficulties using store or other kinds of transaction cards, particularly given the recent trend toward eliminating the embossing (raised print) on such cards. Neither federal nor California law provides specific technical guidance regarding these cards. However, some card producers, such as banks, are already taking steps to offer accessibility accommodations, such as by offering the ability to request a card with raised print, or the ability to request a card with larger print or a notched edge (which also helps a person to distinguish between different transaction cards by feel).  If your company issues store discount cards or any other form of transaction card, you should also evaluate and provide accessible options for disabled patrons. </w:t>
      </w:r>
    </w:p>
    <w:p w:rsidR="00406A33" w:rsidRPr="00724CF8" w:rsidRDefault="00406A33">
      <w:pPr>
        <w:spacing w:after="200" w:line="276" w:lineRule="auto"/>
        <w:rPr>
          <w:rFonts w:ascii="Avenir Book" w:hAnsi="Avenir Book"/>
          <w:sz w:val="21"/>
          <w:szCs w:val="21"/>
        </w:rPr>
      </w:pPr>
    </w:p>
    <w:p w:rsidR="00406A33" w:rsidRDefault="00406A33">
      <w:pPr>
        <w:spacing w:after="200" w:line="276" w:lineRule="auto"/>
        <w:rPr>
          <w:rFonts w:ascii="Avenir Book" w:hAnsi="Avenir Book"/>
          <w:sz w:val="21"/>
          <w:szCs w:val="21"/>
        </w:rPr>
      </w:pPr>
    </w:p>
    <w:p w:rsidR="004D2643" w:rsidRPr="00724CF8" w:rsidRDefault="004D2643">
      <w:pPr>
        <w:spacing w:after="200" w:line="276" w:lineRule="auto"/>
        <w:rPr>
          <w:rFonts w:ascii="Avenir Book" w:hAnsi="Avenir Book"/>
          <w:sz w:val="21"/>
          <w:szCs w:val="21"/>
        </w:rPr>
      </w:pPr>
    </w:p>
    <w:p w:rsidR="00406A33" w:rsidRPr="00D245AC" w:rsidRDefault="00D245AC" w:rsidP="00D245AC">
      <w:pPr>
        <w:pStyle w:val="OutlineL1"/>
        <w:numPr>
          <w:ilvl w:val="0"/>
          <w:numId w:val="32"/>
        </w:numPr>
        <w:tabs>
          <w:tab w:val="clear" w:pos="720"/>
          <w:tab w:val="num" w:pos="360"/>
        </w:tabs>
        <w:rPr>
          <w:rFonts w:ascii="Avenir Book" w:hAnsi="Avenir Book"/>
          <w:b/>
          <w:sz w:val="21"/>
          <w:szCs w:val="21"/>
        </w:rPr>
      </w:pPr>
      <w:r w:rsidRPr="00D245AC">
        <w:rPr>
          <w:rFonts w:ascii="Avenir Book" w:hAnsi="Avenir Book"/>
          <w:b/>
          <w:sz w:val="21"/>
          <w:szCs w:val="21"/>
        </w:rPr>
        <w:t>SERVICE ANIMALS</w:t>
      </w:r>
    </w:p>
    <w:p w:rsidR="00406A33" w:rsidRPr="00724CF8" w:rsidRDefault="00406A33" w:rsidP="00AA6F82">
      <w:pPr>
        <w:jc w:val="center"/>
        <w:rPr>
          <w:rFonts w:ascii="Avenir Book" w:hAnsi="Avenir Book"/>
          <w:sz w:val="21"/>
          <w:szCs w:val="21"/>
        </w:rPr>
      </w:pPr>
      <w:r w:rsidRPr="00724CF8">
        <w:rPr>
          <w:rFonts w:ascii="Avenir Book" w:hAnsi="Avenir Book"/>
          <w:noProof/>
          <w:sz w:val="21"/>
          <w:szCs w:val="21"/>
        </w:rPr>
        <w:lastRenderedPageBreak/>
        <w:drawing>
          <wp:inline distT="0" distB="0" distL="0" distR="0">
            <wp:extent cx="3213100" cy="4304767"/>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13778" cy="4305675"/>
                    </a:xfrm>
                    <a:prstGeom prst="rect">
                      <a:avLst/>
                    </a:prstGeom>
                    <a:noFill/>
                    <a:ln>
                      <a:noFill/>
                    </a:ln>
                  </pic:spPr>
                </pic:pic>
              </a:graphicData>
            </a:graphic>
          </wp:inline>
        </w:drawing>
      </w:r>
    </w:p>
    <w:p w:rsidR="00406A33" w:rsidRPr="00724CF8" w:rsidRDefault="00406A33" w:rsidP="0074609A">
      <w:pPr>
        <w:rPr>
          <w:rFonts w:ascii="Avenir Book" w:hAnsi="Avenir Book"/>
          <w:sz w:val="21"/>
          <w:szCs w:val="21"/>
        </w:rPr>
      </w:pPr>
    </w:p>
    <w:p w:rsidR="00406A33" w:rsidRPr="00724CF8" w:rsidRDefault="00406A33" w:rsidP="00AA6F82">
      <w:pPr>
        <w:jc w:val="center"/>
        <w:rPr>
          <w:rFonts w:ascii="Avenir Book" w:hAnsi="Avenir Book"/>
          <w:sz w:val="21"/>
          <w:szCs w:val="21"/>
        </w:rPr>
      </w:pPr>
      <w:r w:rsidRPr="00724CF8">
        <w:rPr>
          <w:rFonts w:ascii="Avenir Book" w:hAnsi="Avenir Book"/>
          <w:sz w:val="21"/>
          <w:szCs w:val="21"/>
        </w:rPr>
        <w:t>(image obtained at https://upload.wikimedia.org/wikipedia/commons/0/06/Service_dog_out_shopping.jpg)</w:t>
      </w:r>
    </w:p>
    <w:p w:rsidR="00406A33" w:rsidRPr="00724CF8" w:rsidRDefault="00406A33" w:rsidP="0074609A">
      <w:pPr>
        <w:pStyle w:val="HTMLPreformatted"/>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What Is a Service Animal?</w:t>
      </w:r>
      <w:r w:rsidRPr="00D960F9">
        <w:rPr>
          <w:rFonts w:ascii="Avenir Book" w:hAnsi="Avenir Book"/>
          <w:b/>
          <w:sz w:val="21"/>
          <w:szCs w:val="21"/>
        </w:rPr>
        <w:tab/>
      </w:r>
    </w:p>
    <w:p w:rsidR="00406A33" w:rsidRPr="00724CF8" w:rsidRDefault="00406A33" w:rsidP="00D245AC">
      <w:pPr>
        <w:pStyle w:val="HTMLPreformatted"/>
        <w:tabs>
          <w:tab w:val="num" w:pos="1080"/>
        </w:tabs>
        <w:rPr>
          <w:rFonts w:ascii="Avenir Book" w:eastAsia="Times New Roman" w:hAnsi="Avenir Book" w:cs="Times New Roman"/>
          <w:sz w:val="21"/>
          <w:szCs w:val="21"/>
        </w:rPr>
      </w:pPr>
      <w:r w:rsidRPr="00724CF8">
        <w:rPr>
          <w:rFonts w:ascii="Avenir Book" w:hAnsi="Avenir Book" w:cs="Times New Roman"/>
          <w:sz w:val="21"/>
          <w:szCs w:val="21"/>
        </w:rPr>
        <w:t xml:space="preserve">The ADA defines a service animal as </w:t>
      </w:r>
      <w:r w:rsidRPr="00724CF8">
        <w:rPr>
          <w:rFonts w:ascii="Avenir Book" w:eastAsia="Times New Roman" w:hAnsi="Avenir Book" w:cs="Times New Roman"/>
          <w:color w:val="333333"/>
          <w:sz w:val="21"/>
          <w:szCs w:val="21"/>
          <w:shd w:val="clear" w:color="auto" w:fill="FFFFFF"/>
        </w:rPr>
        <w:t xml:space="preserve">any dog that is individually trained to do work or perform tasks for the benefit of an individual with a disability, including a physical, sensory, psychiatric, intellectual, or other mental disability. (28 C.F.R. 36.104.) California law offers a similar characterization, defining a service dog </w:t>
      </w:r>
      <w:r w:rsidRPr="00724CF8">
        <w:rPr>
          <w:rFonts w:ascii="Avenir Book" w:hAnsi="Avenir Book" w:cs="Times New Roman"/>
          <w:color w:val="000000"/>
          <w:sz w:val="21"/>
          <w:szCs w:val="21"/>
        </w:rPr>
        <w:t>as any dog individually trained to the requirements of the individual with a disability, including, but not limited to, minimal protection work, rescue work, pulling a wheelchair, or fetching dropped items. (</w:t>
      </w:r>
      <w:r w:rsidRPr="00724CF8">
        <w:rPr>
          <w:rFonts w:ascii="Avenir Book" w:eastAsia="Times New Roman" w:hAnsi="Avenir Book" w:cs="Times New Roman"/>
          <w:sz w:val="21"/>
          <w:szCs w:val="21"/>
        </w:rPr>
        <w:t xml:space="preserve">Cal. Civ. Code § 54.1(b)(6)(C)(iii).) </w:t>
      </w:r>
    </w:p>
    <w:p w:rsidR="00406A33" w:rsidRPr="00724CF8" w:rsidRDefault="00406A33" w:rsidP="00D245AC">
      <w:pPr>
        <w:pStyle w:val="HTMLPreformatted"/>
        <w:tabs>
          <w:tab w:val="num" w:pos="1080"/>
        </w:tabs>
        <w:rPr>
          <w:rFonts w:ascii="Avenir Book" w:hAnsi="Avenir Book" w:cs="Times New Roman"/>
          <w:color w:val="000000"/>
          <w:sz w:val="21"/>
          <w:szCs w:val="21"/>
        </w:rPr>
      </w:pPr>
    </w:p>
    <w:p w:rsidR="00406A33" w:rsidRPr="00724CF8" w:rsidRDefault="00406A33" w:rsidP="00D245AC">
      <w:pPr>
        <w:tabs>
          <w:tab w:val="num" w:pos="1080"/>
        </w:tabs>
        <w:rPr>
          <w:rFonts w:ascii="Avenir Book" w:hAnsi="Avenir Book"/>
          <w:color w:val="333333"/>
          <w:sz w:val="21"/>
          <w:szCs w:val="21"/>
          <w:shd w:val="clear" w:color="auto" w:fill="FFFFFF"/>
        </w:rPr>
      </w:pPr>
      <w:r w:rsidRPr="00724CF8">
        <w:rPr>
          <w:rFonts w:ascii="Avenir Book" w:hAnsi="Avenir Book"/>
          <w:color w:val="333333"/>
          <w:sz w:val="21"/>
          <w:szCs w:val="21"/>
          <w:shd w:val="clear" w:color="auto" w:fill="FFFFFF"/>
        </w:rPr>
        <w:lastRenderedPageBreak/>
        <w:t xml:space="preserve">Service animals can perform any number of tasks for a person with a disability, including assisting individuals who are blind or have low vision with navigation and other tasks, alerting individuals who are deaf or hard of hearing to the presence of people or sounds, providing non-violent protection or rescue work, pulling a wheelchair, assisting an individual during a seizure, alerting individuals to the presence of allergens, retrieving items such as medicine or the telephone, providing physical support and assistance with balance and stability to individuals with mobility disabilities, and helping persons with psychiatric and neurological disabilities by preventing or interrupting impulsive or destructive behaviors. (28 C.F.R. </w:t>
      </w:r>
      <w:r w:rsidRPr="00724CF8">
        <w:rPr>
          <w:rFonts w:ascii="Avenir Book" w:hAnsi="Avenir Book"/>
          <w:sz w:val="21"/>
          <w:szCs w:val="21"/>
        </w:rPr>
        <w:t xml:space="preserve">§ </w:t>
      </w:r>
      <w:r w:rsidRPr="00724CF8">
        <w:rPr>
          <w:rFonts w:ascii="Avenir Book" w:hAnsi="Avenir Book"/>
          <w:color w:val="333333"/>
          <w:sz w:val="21"/>
          <w:szCs w:val="21"/>
          <w:shd w:val="clear" w:color="auto" w:fill="FFFFFF"/>
        </w:rPr>
        <w:t>36.104.)</w:t>
      </w:r>
    </w:p>
    <w:p w:rsidR="00406A33" w:rsidRPr="00724CF8" w:rsidRDefault="00406A33" w:rsidP="00D245AC">
      <w:pPr>
        <w:tabs>
          <w:tab w:val="num" w:pos="1080"/>
        </w:tabs>
        <w:rPr>
          <w:rFonts w:ascii="Avenir Book" w:hAnsi="Avenir Book"/>
          <w:color w:val="333333"/>
          <w:sz w:val="21"/>
          <w:szCs w:val="21"/>
          <w:shd w:val="clear" w:color="auto" w:fill="FFFFFF"/>
        </w:rPr>
      </w:pPr>
    </w:p>
    <w:p w:rsidR="00406A33" w:rsidRPr="00724CF8" w:rsidRDefault="00406A33" w:rsidP="00D245AC">
      <w:pPr>
        <w:tabs>
          <w:tab w:val="num" w:pos="1080"/>
        </w:tabs>
        <w:rPr>
          <w:rFonts w:ascii="Avenir Book" w:hAnsi="Avenir Book"/>
          <w:sz w:val="21"/>
          <w:szCs w:val="21"/>
        </w:rPr>
      </w:pPr>
      <w:r w:rsidRPr="00724CF8">
        <w:rPr>
          <w:rFonts w:ascii="Avenir Book" w:hAnsi="Avenir Book"/>
          <w:color w:val="333333"/>
          <w:sz w:val="21"/>
          <w:szCs w:val="21"/>
          <w:shd w:val="clear" w:color="auto" w:fill="FFFFFF"/>
        </w:rPr>
        <w:t xml:space="preserve">Service animals in training are not considered service animals under federal law. However, California law is less restrictive, and provides that individuals training service animals – even if those individuals are not themselves disabled – may bring their trainee animals into any area in which a service animal would be permitted, and may do so with the same protections and privileges afforded to disabled individuals accompanied by service animals.  (Cal. Civ. Code </w:t>
      </w:r>
      <w:r w:rsidRPr="00724CF8">
        <w:rPr>
          <w:rFonts w:ascii="Avenir Book" w:hAnsi="Avenir Book"/>
          <w:sz w:val="21"/>
          <w:szCs w:val="21"/>
        </w:rPr>
        <w:t>§ 54.1(c).)</w:t>
      </w:r>
    </w:p>
    <w:p w:rsidR="00406A33" w:rsidRPr="00724CF8" w:rsidRDefault="00406A33" w:rsidP="00D245AC">
      <w:pPr>
        <w:tabs>
          <w:tab w:val="num" w:pos="1080"/>
        </w:tabs>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sz w:val="21"/>
          <w:szCs w:val="21"/>
        </w:rPr>
      </w:pPr>
      <w:r w:rsidRPr="00D960F9">
        <w:rPr>
          <w:rFonts w:ascii="Avenir Book" w:hAnsi="Avenir Book"/>
          <w:b/>
          <w:sz w:val="21"/>
          <w:szCs w:val="21"/>
        </w:rPr>
        <w:t>Miniature Horses</w:t>
      </w:r>
    </w:p>
    <w:p w:rsidR="00406A33" w:rsidRPr="00724CF8" w:rsidRDefault="00406A33" w:rsidP="00AA6F82">
      <w:pPr>
        <w:shd w:val="clear" w:color="auto" w:fill="FFFFFF"/>
        <w:spacing w:line="315" w:lineRule="atLeast"/>
        <w:jc w:val="center"/>
        <w:rPr>
          <w:rFonts w:ascii="Avenir Book" w:hAnsi="Avenir Book"/>
          <w:sz w:val="21"/>
          <w:szCs w:val="21"/>
        </w:rPr>
      </w:pPr>
      <w:r w:rsidRPr="00724CF8">
        <w:rPr>
          <w:rFonts w:ascii="Avenir Book" w:hAnsi="Avenir Book"/>
          <w:noProof/>
          <w:color w:val="333333"/>
          <w:sz w:val="21"/>
          <w:szCs w:val="21"/>
        </w:rPr>
        <w:drawing>
          <wp:inline distT="0" distB="0" distL="0" distR="0">
            <wp:extent cx="3384550" cy="23836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87283" cy="2385569"/>
                    </a:xfrm>
                    <a:prstGeom prst="rect">
                      <a:avLst/>
                    </a:prstGeom>
                    <a:noFill/>
                    <a:ln>
                      <a:noFill/>
                    </a:ln>
                  </pic:spPr>
                </pic:pic>
              </a:graphicData>
            </a:graphic>
          </wp:inline>
        </w:drawing>
      </w:r>
    </w:p>
    <w:p w:rsidR="00406A33" w:rsidRPr="00724CF8" w:rsidRDefault="00406A33" w:rsidP="0074609A">
      <w:pPr>
        <w:shd w:val="clear" w:color="auto" w:fill="FFFFFF"/>
        <w:spacing w:line="315" w:lineRule="atLeast"/>
        <w:rPr>
          <w:rFonts w:ascii="Avenir Book" w:hAnsi="Avenir Book"/>
          <w:sz w:val="21"/>
          <w:szCs w:val="21"/>
        </w:rPr>
      </w:pPr>
    </w:p>
    <w:p w:rsidR="00406A33" w:rsidRPr="00724CF8" w:rsidRDefault="00406A33" w:rsidP="00AA6F82">
      <w:pPr>
        <w:shd w:val="clear" w:color="auto" w:fill="FFFFFF"/>
        <w:spacing w:line="315" w:lineRule="atLeast"/>
        <w:jc w:val="center"/>
        <w:rPr>
          <w:rFonts w:ascii="Avenir Book" w:hAnsi="Avenir Book"/>
          <w:sz w:val="21"/>
          <w:szCs w:val="21"/>
        </w:rPr>
      </w:pPr>
      <w:r w:rsidRPr="00724CF8">
        <w:rPr>
          <w:rFonts w:ascii="Avenir Book" w:hAnsi="Avenir Book"/>
          <w:sz w:val="21"/>
          <w:szCs w:val="21"/>
        </w:rPr>
        <w:t>(image obtained at http://showhorsegallery.com/images/uploads/guidehorsemain.jpg.)</w:t>
      </w:r>
    </w:p>
    <w:p w:rsidR="00406A33" w:rsidRPr="00724CF8" w:rsidRDefault="00406A33" w:rsidP="0074609A">
      <w:pPr>
        <w:shd w:val="clear" w:color="auto" w:fill="FFFFFF"/>
        <w:spacing w:line="315" w:lineRule="atLeast"/>
        <w:rPr>
          <w:rFonts w:ascii="Avenir Book" w:hAnsi="Avenir Book"/>
          <w:sz w:val="21"/>
          <w:szCs w:val="21"/>
        </w:rPr>
      </w:pPr>
    </w:p>
    <w:p w:rsidR="00406A33" w:rsidRPr="00724CF8" w:rsidRDefault="00406A33" w:rsidP="0074609A">
      <w:pPr>
        <w:shd w:val="clear" w:color="auto" w:fill="FFFFFF"/>
        <w:spacing w:line="315" w:lineRule="atLeast"/>
        <w:rPr>
          <w:rStyle w:val="ptext-3"/>
          <w:rFonts w:ascii="Avenir Book" w:hAnsi="Avenir Book"/>
          <w:color w:val="333333"/>
          <w:sz w:val="21"/>
          <w:szCs w:val="21"/>
        </w:rPr>
      </w:pPr>
      <w:r w:rsidRPr="00724CF8">
        <w:rPr>
          <w:rFonts w:ascii="Avenir Book" w:hAnsi="Avenir Book"/>
          <w:sz w:val="21"/>
          <w:szCs w:val="21"/>
        </w:rPr>
        <w:t xml:space="preserve">Although only dogs are defined as service animals under federal law, the 2010 amendments to the ADA include guidance regarding the use of miniature horses by persons with disabilities.  In many respects the requirements are the same for miniature horses as they are for service animals:  A public accommodation must make reasonable modifications in its policies, practices, or procedures to permit the use of a miniature horse by an individual with a disability if the miniature horse </w:t>
      </w:r>
      <w:r w:rsidRPr="00724CF8">
        <w:rPr>
          <w:rStyle w:val="ptext-3"/>
          <w:rFonts w:ascii="Avenir Book" w:hAnsi="Avenir Book"/>
          <w:color w:val="333333"/>
          <w:sz w:val="21"/>
          <w:szCs w:val="21"/>
        </w:rPr>
        <w:t xml:space="preserve">has been individually trained to do work or perform tasks for the benefit of the individual with a disability.  (28 C.F.R. </w:t>
      </w:r>
      <w:r w:rsidRPr="00724CF8">
        <w:rPr>
          <w:rFonts w:ascii="Avenir Book" w:hAnsi="Avenir Book"/>
          <w:sz w:val="21"/>
          <w:szCs w:val="21"/>
        </w:rPr>
        <w:t>§</w:t>
      </w:r>
      <w:r w:rsidRPr="00724CF8">
        <w:rPr>
          <w:rStyle w:val="ptext-3"/>
          <w:rFonts w:ascii="Avenir Book" w:hAnsi="Avenir Book"/>
          <w:color w:val="333333"/>
          <w:sz w:val="21"/>
          <w:szCs w:val="21"/>
        </w:rPr>
        <w:t xml:space="preserve"> 36.302(c)(9)(</w:t>
      </w:r>
      <w:proofErr w:type="spellStart"/>
      <w:r w:rsidRPr="00724CF8">
        <w:rPr>
          <w:rStyle w:val="ptext-3"/>
          <w:rFonts w:ascii="Avenir Book" w:hAnsi="Avenir Book"/>
          <w:color w:val="333333"/>
          <w:sz w:val="21"/>
          <w:szCs w:val="21"/>
        </w:rPr>
        <w:t>i</w:t>
      </w:r>
      <w:proofErr w:type="spellEnd"/>
      <w:r w:rsidRPr="00724CF8">
        <w:rPr>
          <w:rStyle w:val="ptext-3"/>
          <w:rFonts w:ascii="Avenir Book" w:hAnsi="Avenir Book"/>
          <w:color w:val="333333"/>
          <w:sz w:val="21"/>
          <w:szCs w:val="21"/>
        </w:rPr>
        <w:t xml:space="preserve">).) However, the separate characterization of miniature horses was deliberate, in order to provide flexibility in situations where providing access for a miniature horse would not be appropriate.  </w:t>
      </w:r>
    </w:p>
    <w:p w:rsidR="00406A33" w:rsidRPr="00724CF8" w:rsidRDefault="00406A33" w:rsidP="0074609A">
      <w:pPr>
        <w:shd w:val="clear" w:color="auto" w:fill="FFFFFF"/>
        <w:spacing w:line="315" w:lineRule="atLeast"/>
        <w:rPr>
          <w:rStyle w:val="ptext-3"/>
          <w:rFonts w:ascii="Avenir Book" w:hAnsi="Avenir Book"/>
          <w:color w:val="333333"/>
          <w:sz w:val="21"/>
          <w:szCs w:val="21"/>
        </w:rPr>
      </w:pPr>
    </w:p>
    <w:p w:rsidR="00406A33" w:rsidRPr="00724CF8" w:rsidRDefault="00406A33" w:rsidP="0074609A">
      <w:pPr>
        <w:shd w:val="clear" w:color="auto" w:fill="FFFFFF"/>
        <w:spacing w:line="315" w:lineRule="atLeast"/>
        <w:rPr>
          <w:rStyle w:val="ptext-3"/>
          <w:rFonts w:ascii="Avenir Book" w:hAnsi="Avenir Book"/>
          <w:color w:val="333333"/>
          <w:sz w:val="21"/>
          <w:szCs w:val="21"/>
        </w:rPr>
      </w:pPr>
      <w:r w:rsidRPr="00724CF8">
        <w:rPr>
          <w:rStyle w:val="ptext-3"/>
          <w:rFonts w:ascii="Avenir Book" w:hAnsi="Avenir Book"/>
          <w:color w:val="333333"/>
          <w:sz w:val="21"/>
          <w:szCs w:val="21"/>
        </w:rPr>
        <w:lastRenderedPageBreak/>
        <w:t xml:space="preserve">For example, while there are no size or type restrictions with respect to what kind of dog may be a service animal, a public accommodation must consider the type, size, and weight of the miniature horse, and whether the facility can accommodate these features, when determining whether reasonable modifications can be made to allow access to a miniature horse. (28 C.F.R. </w:t>
      </w:r>
      <w:r w:rsidRPr="00724CF8">
        <w:rPr>
          <w:rFonts w:ascii="Avenir Book" w:hAnsi="Avenir Book"/>
          <w:sz w:val="21"/>
          <w:szCs w:val="21"/>
        </w:rPr>
        <w:t>§</w:t>
      </w:r>
      <w:r w:rsidRPr="00724CF8">
        <w:rPr>
          <w:rStyle w:val="ptext-3"/>
          <w:rFonts w:ascii="Avenir Book" w:hAnsi="Avenir Book"/>
          <w:color w:val="333333"/>
          <w:sz w:val="21"/>
          <w:szCs w:val="21"/>
        </w:rPr>
        <w:t xml:space="preserve"> 36.302(c)(9)(ii)(A).) A public accommodation must also consider whether the handler has sufficient control of the horse, whether the horse is housebroken, and whether the horse’s presence in a specific facility compromises legitimate safety requirements that are necessary for safe operation. (28 C.F.R. </w:t>
      </w:r>
      <w:r w:rsidRPr="00724CF8">
        <w:rPr>
          <w:rFonts w:ascii="Avenir Book" w:hAnsi="Avenir Book"/>
          <w:sz w:val="21"/>
          <w:szCs w:val="21"/>
        </w:rPr>
        <w:t>§</w:t>
      </w:r>
      <w:r w:rsidRPr="00724CF8">
        <w:rPr>
          <w:rStyle w:val="ptext-3"/>
          <w:rFonts w:ascii="Avenir Book" w:hAnsi="Avenir Book"/>
          <w:color w:val="333333"/>
          <w:sz w:val="21"/>
          <w:szCs w:val="21"/>
        </w:rPr>
        <w:t xml:space="preserve"> 36.302(c)(9)(ii)(B)-(D).)</w:t>
      </w:r>
    </w:p>
    <w:p w:rsidR="00406A33" w:rsidRPr="00724CF8" w:rsidRDefault="00406A33" w:rsidP="0074609A">
      <w:pPr>
        <w:shd w:val="clear" w:color="auto" w:fill="FFFFFF"/>
        <w:spacing w:line="315" w:lineRule="atLeast"/>
        <w:rPr>
          <w:rStyle w:val="ptext-3"/>
          <w:rFonts w:ascii="Avenir Book" w:hAnsi="Avenir Book"/>
          <w:color w:val="333333"/>
          <w:sz w:val="21"/>
          <w:szCs w:val="21"/>
        </w:rPr>
      </w:pPr>
    </w:p>
    <w:p w:rsidR="00406A33" w:rsidRPr="00724CF8" w:rsidRDefault="00406A33" w:rsidP="0074609A">
      <w:pPr>
        <w:shd w:val="clear" w:color="auto" w:fill="FFFFFF"/>
        <w:spacing w:line="315" w:lineRule="atLeast"/>
        <w:rPr>
          <w:rFonts w:ascii="Avenir Book" w:hAnsi="Avenir Book"/>
          <w:color w:val="333333"/>
          <w:sz w:val="21"/>
          <w:szCs w:val="21"/>
        </w:rPr>
      </w:pPr>
      <w:r w:rsidRPr="00724CF8">
        <w:rPr>
          <w:rStyle w:val="ptext-3"/>
          <w:rFonts w:ascii="Avenir Book" w:hAnsi="Avenir Book"/>
          <w:color w:val="333333"/>
          <w:sz w:val="21"/>
          <w:szCs w:val="21"/>
        </w:rPr>
        <w:t xml:space="preserve">Other provisions of the law that apply to service animals (such as the inquiry and access requirements detailed in this Toolkit) also apply to miniature horses. (28 C.F.R. </w:t>
      </w:r>
      <w:r w:rsidRPr="00724CF8">
        <w:rPr>
          <w:rFonts w:ascii="Avenir Book" w:hAnsi="Avenir Book"/>
          <w:sz w:val="21"/>
          <w:szCs w:val="21"/>
        </w:rPr>
        <w:t>§</w:t>
      </w:r>
      <w:r w:rsidRPr="00724CF8">
        <w:rPr>
          <w:rStyle w:val="ptext-3"/>
          <w:rFonts w:ascii="Avenir Book" w:hAnsi="Avenir Book"/>
          <w:color w:val="333333"/>
          <w:sz w:val="21"/>
          <w:szCs w:val="21"/>
        </w:rPr>
        <w:t xml:space="preserve"> 36.302(c)(9)(iii).)  Since federal law recognizes the use of miniature horses for this purpose, so does California.</w:t>
      </w:r>
    </w:p>
    <w:p w:rsidR="00406A33" w:rsidRPr="00724CF8" w:rsidRDefault="00406A33" w:rsidP="0074609A">
      <w:pPr>
        <w:rPr>
          <w:rFonts w:ascii="Avenir Book" w:hAnsi="Avenir Book"/>
          <w:sz w:val="21"/>
          <w:szCs w:val="21"/>
        </w:rPr>
      </w:pPr>
    </w:p>
    <w:p w:rsidR="00406A33" w:rsidRPr="00D960F9" w:rsidRDefault="00406A33" w:rsidP="00D245AC">
      <w:pPr>
        <w:pStyle w:val="OutlineL2"/>
        <w:tabs>
          <w:tab w:val="clear" w:pos="1440"/>
          <w:tab w:val="num" w:pos="1080"/>
        </w:tabs>
        <w:rPr>
          <w:rFonts w:ascii="Avenir Book" w:hAnsi="Avenir Book"/>
          <w:b/>
          <w:color w:val="333333"/>
          <w:sz w:val="21"/>
          <w:szCs w:val="21"/>
          <w:shd w:val="clear" w:color="auto" w:fill="FFFFFF"/>
        </w:rPr>
      </w:pPr>
      <w:r w:rsidRPr="00D960F9">
        <w:rPr>
          <w:rFonts w:ascii="Avenir Book" w:hAnsi="Avenir Book"/>
          <w:b/>
          <w:sz w:val="21"/>
          <w:szCs w:val="21"/>
        </w:rPr>
        <w:t>What is Not a Service Animal?</w:t>
      </w:r>
    </w:p>
    <w:p w:rsidR="00406A33" w:rsidRPr="00724CF8" w:rsidRDefault="00406A33" w:rsidP="0074609A">
      <w:pPr>
        <w:rPr>
          <w:rFonts w:ascii="Avenir Book" w:hAnsi="Avenir Book"/>
          <w:color w:val="333333"/>
          <w:sz w:val="21"/>
          <w:szCs w:val="21"/>
          <w:shd w:val="clear" w:color="auto" w:fill="FFFFFF"/>
        </w:rPr>
      </w:pPr>
      <w:r w:rsidRPr="00724CF8">
        <w:rPr>
          <w:rFonts w:ascii="Avenir Book" w:hAnsi="Avenir Book"/>
          <w:color w:val="333333"/>
          <w:sz w:val="21"/>
          <w:szCs w:val="21"/>
          <w:shd w:val="clear" w:color="auto" w:fill="FFFFFF"/>
        </w:rPr>
        <w:t xml:space="preserve">Other species of animals, whether wild or domestic, trained or untrained, are not service animals. (28 C.F.R. </w:t>
      </w:r>
      <w:r w:rsidRPr="00724CF8">
        <w:rPr>
          <w:rFonts w:ascii="Avenir Book" w:hAnsi="Avenir Book"/>
          <w:sz w:val="21"/>
          <w:szCs w:val="21"/>
        </w:rPr>
        <w:t xml:space="preserve">§ </w:t>
      </w:r>
      <w:r w:rsidRPr="00724CF8">
        <w:rPr>
          <w:rFonts w:ascii="Avenir Book" w:hAnsi="Avenir Book"/>
          <w:color w:val="333333"/>
          <w:sz w:val="21"/>
          <w:szCs w:val="21"/>
          <w:shd w:val="clear" w:color="auto" w:fill="FFFFFF"/>
        </w:rPr>
        <w:t>36.104.)</w:t>
      </w:r>
    </w:p>
    <w:p w:rsidR="00406A33" w:rsidRPr="00724CF8" w:rsidRDefault="00406A33" w:rsidP="0074609A">
      <w:pPr>
        <w:rPr>
          <w:rFonts w:ascii="Avenir Book" w:hAnsi="Avenir Book"/>
          <w:color w:val="333333"/>
          <w:sz w:val="21"/>
          <w:szCs w:val="21"/>
          <w:shd w:val="clear" w:color="auto" w:fill="FFFFFF"/>
        </w:rPr>
      </w:pPr>
    </w:p>
    <w:p w:rsidR="00406A33" w:rsidRPr="00724CF8" w:rsidRDefault="00406A33" w:rsidP="00AA6F82">
      <w:pPr>
        <w:jc w:val="center"/>
        <w:rPr>
          <w:rFonts w:ascii="Avenir Book" w:hAnsi="Avenir Book"/>
          <w:sz w:val="21"/>
          <w:szCs w:val="21"/>
        </w:rPr>
      </w:pPr>
      <w:r w:rsidRPr="00724CF8">
        <w:rPr>
          <w:rFonts w:ascii="Avenir Book" w:hAnsi="Avenir Book"/>
          <w:noProof/>
          <w:sz w:val="21"/>
          <w:szCs w:val="21"/>
        </w:rPr>
        <w:drawing>
          <wp:inline distT="0" distB="0" distL="0" distR="0">
            <wp:extent cx="4214966" cy="2794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14966" cy="2794000"/>
                    </a:xfrm>
                    <a:prstGeom prst="rect">
                      <a:avLst/>
                    </a:prstGeom>
                    <a:noFill/>
                    <a:ln>
                      <a:noFill/>
                    </a:ln>
                  </pic:spPr>
                </pic:pic>
              </a:graphicData>
            </a:graphic>
          </wp:inline>
        </w:drawing>
      </w:r>
    </w:p>
    <w:p w:rsidR="00406A33" w:rsidRPr="00724CF8" w:rsidRDefault="00406A33" w:rsidP="0074609A">
      <w:pPr>
        <w:rPr>
          <w:rFonts w:ascii="Avenir Book" w:hAnsi="Avenir Book"/>
          <w:sz w:val="21"/>
          <w:szCs w:val="21"/>
        </w:rPr>
      </w:pPr>
    </w:p>
    <w:p w:rsidR="00406A33" w:rsidRPr="00D245AC" w:rsidRDefault="00406A33" w:rsidP="00AA6F82">
      <w:pPr>
        <w:jc w:val="center"/>
        <w:rPr>
          <w:rFonts w:ascii="Avenir Book" w:hAnsi="Avenir Book"/>
          <w:sz w:val="19"/>
          <w:szCs w:val="19"/>
        </w:rPr>
      </w:pPr>
      <w:r w:rsidRPr="00D245AC">
        <w:rPr>
          <w:rFonts w:ascii="Avenir Book" w:hAnsi="Avenir Book"/>
          <w:sz w:val="19"/>
          <w:szCs w:val="19"/>
        </w:rPr>
        <w:t>(image obtained at http://www.newyorker.com/wp-content/uploads/2014/10/141020_r25618-1200-796.jpg.)</w:t>
      </w:r>
    </w:p>
    <w:p w:rsidR="00406A33" w:rsidRPr="00724CF8" w:rsidRDefault="00406A33" w:rsidP="0074609A">
      <w:pPr>
        <w:rPr>
          <w:rFonts w:ascii="Avenir Book" w:hAnsi="Avenir Book"/>
          <w:color w:val="333333"/>
          <w:sz w:val="21"/>
          <w:szCs w:val="21"/>
          <w:shd w:val="clear" w:color="auto" w:fill="FFFFFF"/>
        </w:rPr>
      </w:pPr>
    </w:p>
    <w:p w:rsidR="00406A33" w:rsidRPr="00093CB0" w:rsidRDefault="00406A33" w:rsidP="00235605">
      <w:pPr>
        <w:spacing w:after="240"/>
        <w:rPr>
          <w:rFonts w:ascii="Avenir Book" w:hAnsi="Avenir Book"/>
          <w:sz w:val="21"/>
          <w:szCs w:val="21"/>
          <w:shd w:val="clear" w:color="auto" w:fill="FFFFFF"/>
        </w:rPr>
      </w:pPr>
      <w:r w:rsidRPr="00724CF8">
        <w:rPr>
          <w:rFonts w:ascii="Avenir Book" w:hAnsi="Avenir Book"/>
          <w:color w:val="333333"/>
          <w:sz w:val="21"/>
          <w:szCs w:val="21"/>
          <w:shd w:val="clear" w:color="auto" w:fill="FFFFFF"/>
        </w:rPr>
        <w:t>Emotional support animals are not service animals either. An emotional support animal is a companion animal that provides some therapeutic benefit to an individual with a mental or psychiatric disability, but that is not trained to provide any particular tasks for the disabled person. (</w:t>
      </w:r>
      <w:r w:rsidRPr="00724CF8">
        <w:rPr>
          <w:rFonts w:ascii="Avenir Book" w:hAnsi="Avenir Book"/>
          <w:sz w:val="21"/>
          <w:szCs w:val="21"/>
        </w:rPr>
        <w:t xml:space="preserve">Auburn Woods I Homeowner’s </w:t>
      </w:r>
      <w:proofErr w:type="spellStart"/>
      <w:r w:rsidRPr="00724CF8">
        <w:rPr>
          <w:rFonts w:ascii="Avenir Book" w:hAnsi="Avenir Book"/>
          <w:sz w:val="21"/>
          <w:szCs w:val="21"/>
        </w:rPr>
        <w:t>Ass’n</w:t>
      </w:r>
      <w:proofErr w:type="spellEnd"/>
      <w:r w:rsidRPr="00724CF8">
        <w:rPr>
          <w:rFonts w:ascii="Avenir Book" w:hAnsi="Avenir Book"/>
          <w:sz w:val="21"/>
          <w:szCs w:val="21"/>
        </w:rPr>
        <w:t xml:space="preserve"> v. Fair Employment and Housing </w:t>
      </w:r>
      <w:proofErr w:type="spellStart"/>
      <w:r w:rsidRPr="00724CF8">
        <w:rPr>
          <w:rFonts w:ascii="Avenir Book" w:hAnsi="Avenir Book"/>
          <w:sz w:val="21"/>
          <w:szCs w:val="21"/>
        </w:rPr>
        <w:t>Com’n</w:t>
      </w:r>
      <w:proofErr w:type="spellEnd"/>
      <w:r w:rsidRPr="00724CF8">
        <w:rPr>
          <w:rFonts w:ascii="Avenir Book" w:hAnsi="Avenir Book"/>
          <w:sz w:val="21"/>
          <w:szCs w:val="21"/>
        </w:rPr>
        <w:t xml:space="preserve">, 121 Cal. App. 4th 1578, 1595-96 (2004); </w:t>
      </w:r>
      <w:proofErr w:type="spellStart"/>
      <w:r w:rsidRPr="00724CF8">
        <w:rPr>
          <w:rFonts w:ascii="Avenir Book" w:hAnsi="Avenir Book"/>
          <w:sz w:val="21"/>
          <w:szCs w:val="21"/>
        </w:rPr>
        <w:t>Janush</w:t>
      </w:r>
      <w:proofErr w:type="spellEnd"/>
      <w:r w:rsidRPr="00724CF8">
        <w:rPr>
          <w:rFonts w:ascii="Avenir Book" w:hAnsi="Avenir Book"/>
          <w:sz w:val="21"/>
          <w:szCs w:val="21"/>
        </w:rPr>
        <w:t xml:space="preserve"> v. Charities Housing Development Corp., 169 F. Supp. 2d 1133, 1136 (N.D. Cal. 2000).)  </w:t>
      </w:r>
      <w:r w:rsidRPr="00724CF8">
        <w:rPr>
          <w:rFonts w:ascii="Avenir Book" w:hAnsi="Avenir Book"/>
          <w:color w:val="333333"/>
          <w:sz w:val="21"/>
          <w:szCs w:val="21"/>
          <w:shd w:val="clear" w:color="auto" w:fill="FFFFFF"/>
        </w:rPr>
        <w:t xml:space="preserve">Both federal and California law provide certain specific protections with </w:t>
      </w:r>
      <w:r w:rsidRPr="00724CF8">
        <w:rPr>
          <w:rFonts w:ascii="Avenir Book" w:hAnsi="Avenir Book"/>
          <w:color w:val="333333"/>
          <w:sz w:val="21"/>
          <w:szCs w:val="21"/>
          <w:shd w:val="clear" w:color="auto" w:fill="FFFFFF"/>
        </w:rPr>
        <w:lastRenderedPageBreak/>
        <w:t xml:space="preserve">respect to emotional support animals (such as in housing and for travel on airplanes), but do not provide these animals access to general areas of public </w:t>
      </w:r>
      <w:r w:rsidRPr="00093CB0">
        <w:rPr>
          <w:rFonts w:ascii="Avenir Book" w:hAnsi="Avenir Book"/>
          <w:sz w:val="21"/>
          <w:szCs w:val="21"/>
          <w:shd w:val="clear" w:color="auto" w:fill="FFFFFF"/>
        </w:rPr>
        <w:t xml:space="preserve">accommodation. As the ADA’s implementing regulations explicitly confirm, the provision of emotional support, well-being, comfort, or companionship do not constitute work or tasks for purposes of meeting the service animal definition.  (28 C.F.R. </w:t>
      </w:r>
      <w:r w:rsidRPr="00093CB0">
        <w:rPr>
          <w:rFonts w:ascii="Avenir Book" w:hAnsi="Avenir Book"/>
          <w:sz w:val="21"/>
          <w:szCs w:val="21"/>
        </w:rPr>
        <w:t xml:space="preserve">§ </w:t>
      </w:r>
      <w:r w:rsidRPr="00093CB0">
        <w:rPr>
          <w:rFonts w:ascii="Avenir Book" w:hAnsi="Avenir Book"/>
          <w:sz w:val="21"/>
          <w:szCs w:val="21"/>
          <w:shd w:val="clear" w:color="auto" w:fill="FFFFFF"/>
        </w:rPr>
        <w:t xml:space="preserve">36.104.) </w:t>
      </w:r>
    </w:p>
    <w:p w:rsidR="00406A33" w:rsidRPr="00093CB0" w:rsidRDefault="00406A33" w:rsidP="0074609A">
      <w:pPr>
        <w:rPr>
          <w:rFonts w:ascii="Avenir Book" w:hAnsi="Avenir Book"/>
          <w:sz w:val="21"/>
          <w:szCs w:val="21"/>
          <w:shd w:val="clear" w:color="auto" w:fill="FFFFFF"/>
        </w:rPr>
      </w:pPr>
    </w:p>
    <w:p w:rsidR="00406A33" w:rsidRPr="00093CB0" w:rsidRDefault="00406A33" w:rsidP="0074609A">
      <w:pPr>
        <w:rPr>
          <w:rFonts w:ascii="Avenir Book" w:hAnsi="Avenir Book"/>
          <w:i/>
          <w:sz w:val="21"/>
          <w:szCs w:val="21"/>
          <w:shd w:val="clear" w:color="auto" w:fill="FFFFFF"/>
        </w:rPr>
      </w:pPr>
      <w:r w:rsidRPr="00093CB0">
        <w:rPr>
          <w:rFonts w:ascii="Avenir Book" w:hAnsi="Avenir Book"/>
          <w:i/>
          <w:sz w:val="21"/>
          <w:szCs w:val="21"/>
          <w:shd w:val="clear" w:color="auto" w:fill="FFFFFF"/>
        </w:rPr>
        <w:t>Note: Some municipalities have enacted ordinances providing protections for emotional support animals. For example, San Francisco allows individuals with disabilities that use support animals equal access to all City-sponsored programs, facilities, services, and activities. Check local ordinances to make sure you know the legal requirements in the areas in which you operate.</w:t>
      </w:r>
    </w:p>
    <w:p w:rsidR="00406A33" w:rsidRPr="00724CF8" w:rsidRDefault="00406A33" w:rsidP="0074609A">
      <w:pPr>
        <w:rPr>
          <w:rFonts w:ascii="Avenir Book" w:hAnsi="Avenir Book"/>
          <w:color w:val="333333"/>
          <w:sz w:val="21"/>
          <w:szCs w:val="21"/>
          <w:shd w:val="clear" w:color="auto" w:fill="FFFFFF"/>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 xml:space="preserve">Your Obligations With Respect to Service Animals </w:t>
      </w:r>
    </w:p>
    <w:p w:rsidR="00406A33" w:rsidRPr="00724CF8" w:rsidRDefault="00406A33" w:rsidP="0074609A">
      <w:pPr>
        <w:rPr>
          <w:rFonts w:ascii="Avenir Book" w:hAnsi="Avenir Book"/>
          <w:sz w:val="21"/>
          <w:szCs w:val="21"/>
        </w:rPr>
      </w:pPr>
      <w:r w:rsidRPr="00724CF8">
        <w:rPr>
          <w:rFonts w:ascii="Avenir Book" w:hAnsi="Avenir Book"/>
          <w:sz w:val="21"/>
          <w:szCs w:val="21"/>
        </w:rPr>
        <w:t xml:space="preserve">Under federal law, a service animal can go </w:t>
      </w:r>
      <w:r w:rsidRPr="00724CF8">
        <w:rPr>
          <w:rFonts w:ascii="Avenir Book" w:hAnsi="Avenir Book"/>
          <w:color w:val="333333"/>
          <w:sz w:val="21"/>
          <w:szCs w:val="21"/>
          <w:shd w:val="clear" w:color="auto" w:fill="FFFFFF"/>
        </w:rPr>
        <w:t>in all areas of a place of public accommodation where members of the public, program participants, clients, customers, patrons, or invitees, as relevant, are allowed to go. (</w:t>
      </w:r>
      <w:r w:rsidRPr="00724CF8">
        <w:rPr>
          <w:rFonts w:ascii="Avenir Book" w:hAnsi="Avenir Book"/>
          <w:sz w:val="21"/>
          <w:szCs w:val="21"/>
        </w:rPr>
        <w:t xml:space="preserve">28 C.F.R. § 36.302(c)(7).)  California law provides an even more expansive definition regarding access for service animals, although for purposes of this Toolkit the key issue is providing access to all places where the public is invited.  (Cal. Civ. Code § 54.1(a)(1).) </w:t>
      </w:r>
    </w:p>
    <w:p w:rsidR="00406A33" w:rsidRPr="00724CF8" w:rsidRDefault="00406A33" w:rsidP="0074609A">
      <w:pPr>
        <w:pStyle w:val="HTMLPreformatted"/>
        <w:rPr>
          <w:rFonts w:ascii="Avenir Book" w:hAnsi="Avenir Book" w:cs="Times New Roman"/>
          <w:sz w:val="21"/>
          <w:szCs w:val="21"/>
        </w:rPr>
      </w:pPr>
    </w:p>
    <w:p w:rsidR="00406A33" w:rsidRPr="00724CF8" w:rsidRDefault="00406A33" w:rsidP="0074609A">
      <w:pPr>
        <w:pStyle w:val="HTMLPreformatted"/>
        <w:rPr>
          <w:rFonts w:ascii="Avenir Book" w:hAnsi="Avenir Book" w:cs="Times New Roman"/>
          <w:color w:val="000000"/>
          <w:sz w:val="21"/>
          <w:szCs w:val="21"/>
        </w:rPr>
      </w:pPr>
      <w:r w:rsidRPr="00724CF8">
        <w:rPr>
          <w:rFonts w:ascii="Avenir Book" w:hAnsi="Avenir Book" w:cs="Times New Roman"/>
          <w:sz w:val="21"/>
          <w:szCs w:val="21"/>
        </w:rPr>
        <w:t xml:space="preserve">California law also provides additional guidance relevant to grocery stores, explaining that </w:t>
      </w:r>
      <w:r w:rsidRPr="00724CF8">
        <w:rPr>
          <w:rFonts w:ascii="Avenir Book" w:hAnsi="Avenir Book" w:cs="Times New Roman"/>
          <w:color w:val="000000"/>
          <w:sz w:val="21"/>
          <w:szCs w:val="21"/>
        </w:rPr>
        <w:t>service animals may be allowed in areas that are not used for food preparation and that are usually open for consumers, such as dining and sales areas, if a health or safety hazard will not result from the presence or activities of the service animal and if the contamination of food, clean equipment, utensils, linens, and unwrapped single-use articles cannot result. (</w:t>
      </w:r>
      <w:r w:rsidRPr="00724CF8">
        <w:rPr>
          <w:rFonts w:ascii="Avenir Book" w:hAnsi="Avenir Book" w:cs="Times New Roman"/>
          <w:sz w:val="21"/>
          <w:szCs w:val="21"/>
        </w:rPr>
        <w:t xml:space="preserve">Cal. Health and Safety Code § </w:t>
      </w:r>
      <w:r w:rsidRPr="00724CF8">
        <w:rPr>
          <w:rFonts w:ascii="Avenir Book" w:hAnsi="Avenir Book" w:cs="Times New Roman"/>
          <w:color w:val="000000"/>
          <w:sz w:val="21"/>
          <w:szCs w:val="21"/>
        </w:rPr>
        <w:t>114259.5(b).)</w:t>
      </w:r>
    </w:p>
    <w:p w:rsidR="00406A33" w:rsidRPr="00724CF8" w:rsidRDefault="00406A33" w:rsidP="0074609A">
      <w:pPr>
        <w:shd w:val="clear" w:color="auto" w:fill="FFFFFF"/>
        <w:spacing w:before="100" w:beforeAutospacing="1" w:after="100" w:afterAutospacing="1"/>
        <w:rPr>
          <w:rFonts w:ascii="Avenir Book" w:hAnsi="Avenir Book"/>
          <w:color w:val="000000"/>
          <w:sz w:val="21"/>
          <w:szCs w:val="21"/>
        </w:rPr>
      </w:pPr>
      <w:r w:rsidRPr="00724CF8">
        <w:rPr>
          <w:rFonts w:ascii="Avenir Book" w:hAnsi="Avenir Book"/>
          <w:color w:val="000000"/>
          <w:sz w:val="21"/>
          <w:szCs w:val="21"/>
        </w:rPr>
        <w:t xml:space="preserve">Public accommodations have an obligation to make reasonable modifications in policies, practices, or procedures to permit the use of a service animal by an individual with a disability, unless making such modifications would fundamentally alter the nature of the goods, service, facilities, privileges, advantages, or accommodations. (28 C.F.R. </w:t>
      </w:r>
      <w:r w:rsidRPr="00724CF8">
        <w:rPr>
          <w:rFonts w:ascii="Avenir Book" w:hAnsi="Avenir Book"/>
          <w:sz w:val="21"/>
          <w:szCs w:val="21"/>
        </w:rPr>
        <w:t xml:space="preserve">§ </w:t>
      </w:r>
      <w:r w:rsidRPr="00724CF8">
        <w:rPr>
          <w:rFonts w:ascii="Avenir Book" w:hAnsi="Avenir Book"/>
          <w:color w:val="000000"/>
          <w:sz w:val="21"/>
          <w:szCs w:val="21"/>
        </w:rPr>
        <w:t>36.302(c)(1).)  An example of a reasonable modification is modifying a “no pets” policy to allow for the presence of service animals.</w:t>
      </w:r>
    </w:p>
    <w:p w:rsidR="00406A33" w:rsidRPr="00724CF8" w:rsidRDefault="00406A33" w:rsidP="0074609A">
      <w:pPr>
        <w:pStyle w:val="NormalWeb"/>
        <w:shd w:val="clear" w:color="auto" w:fill="FFFFFF"/>
        <w:spacing w:after="270" w:afterAutospacing="0"/>
        <w:rPr>
          <w:rFonts w:ascii="Avenir Book" w:hAnsi="Avenir Book"/>
          <w:color w:val="000000"/>
          <w:sz w:val="21"/>
          <w:szCs w:val="21"/>
        </w:rPr>
      </w:pPr>
      <w:r w:rsidRPr="00724CF8">
        <w:rPr>
          <w:rFonts w:ascii="Avenir Book" w:hAnsi="Avenir Book"/>
          <w:color w:val="000000"/>
          <w:sz w:val="21"/>
          <w:szCs w:val="21"/>
        </w:rPr>
        <w:t>Your company cannot charge extra fees to individuals with service animals, isolate these people from your other patrons, or treat people with service animals less favorably than you would treat others. However, if your company normally charges customers for damage that they cause, an individual with a disability may be charged for damage caused by that individual’s service animal as well. (28 C.F.R.</w:t>
      </w:r>
      <w:r w:rsidRPr="00724CF8">
        <w:rPr>
          <w:rFonts w:ascii="Avenir Book" w:eastAsia="Times New Roman" w:hAnsi="Avenir Book"/>
          <w:sz w:val="21"/>
          <w:szCs w:val="21"/>
        </w:rPr>
        <w:t xml:space="preserve"> § </w:t>
      </w:r>
      <w:r w:rsidRPr="00724CF8">
        <w:rPr>
          <w:rFonts w:ascii="Avenir Book" w:hAnsi="Avenir Book"/>
          <w:color w:val="000000"/>
          <w:sz w:val="21"/>
          <w:szCs w:val="21"/>
        </w:rPr>
        <w:t>36.302(c)(8).)</w:t>
      </w:r>
    </w:p>
    <w:p w:rsidR="00406A33" w:rsidRPr="00724CF8" w:rsidRDefault="00406A33" w:rsidP="0074609A">
      <w:pPr>
        <w:rPr>
          <w:rFonts w:ascii="Avenir Book" w:hAnsi="Avenir Book"/>
          <w:color w:val="000000"/>
          <w:sz w:val="21"/>
          <w:szCs w:val="21"/>
          <w:shd w:val="clear" w:color="auto" w:fill="FFFFFF"/>
        </w:rPr>
      </w:pPr>
      <w:r w:rsidRPr="00724CF8">
        <w:rPr>
          <w:rFonts w:ascii="Avenir Book" w:hAnsi="Avenir Book"/>
          <w:color w:val="000000"/>
          <w:sz w:val="21"/>
          <w:szCs w:val="21"/>
        </w:rPr>
        <w:t xml:space="preserve">Importantly, the law does not require that you supervise or care for anyone’s service animal. (28 C.F.R. </w:t>
      </w:r>
      <w:r w:rsidRPr="00724CF8">
        <w:rPr>
          <w:rFonts w:ascii="Avenir Book" w:hAnsi="Avenir Book"/>
          <w:sz w:val="21"/>
          <w:szCs w:val="21"/>
        </w:rPr>
        <w:t>§</w:t>
      </w:r>
      <w:r w:rsidRPr="00724CF8">
        <w:rPr>
          <w:rFonts w:ascii="Avenir Book" w:hAnsi="Avenir Book"/>
          <w:color w:val="000000"/>
          <w:sz w:val="21"/>
          <w:szCs w:val="21"/>
        </w:rPr>
        <w:t xml:space="preserve"> 36.302(c)(2).) This means that you do not have to provide food for the animal or a place for the animal to relieve itself. </w:t>
      </w:r>
      <w:r w:rsidRPr="00724CF8">
        <w:rPr>
          <w:rFonts w:ascii="Avenir Book" w:hAnsi="Avenir Book"/>
          <w:color w:val="000000"/>
          <w:sz w:val="21"/>
          <w:szCs w:val="21"/>
          <w:shd w:val="clear" w:color="auto" w:fill="FFFFFF"/>
        </w:rPr>
        <w:t>And if a service animal must be separated from an individual with a disability in order to avoid a fundamental alteration or a threat to safety, it is the responsibility of the individual with the disability to arrange for the care and supervision of the animal during that period of separation.</w:t>
      </w:r>
    </w:p>
    <w:p w:rsidR="00406A33" w:rsidRPr="00724CF8" w:rsidRDefault="00406A33" w:rsidP="0074609A">
      <w:pPr>
        <w:rPr>
          <w:rFonts w:ascii="Avenir Book" w:hAnsi="Avenir Book"/>
          <w:color w:val="000000"/>
          <w:sz w:val="21"/>
          <w:szCs w:val="21"/>
          <w:shd w:val="clear" w:color="auto" w:fill="FFFFFF"/>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Service Animals and Shopping Carts</w:t>
      </w:r>
    </w:p>
    <w:p w:rsidR="00406A33" w:rsidRPr="00724CF8" w:rsidRDefault="00406A33" w:rsidP="0074609A">
      <w:pPr>
        <w:spacing w:before="100" w:beforeAutospacing="1" w:after="100" w:afterAutospacing="1"/>
        <w:rPr>
          <w:rFonts w:ascii="Avenir Book" w:hAnsi="Avenir Book"/>
          <w:color w:val="000000"/>
          <w:sz w:val="21"/>
          <w:szCs w:val="21"/>
        </w:rPr>
      </w:pPr>
      <w:r w:rsidRPr="00724CF8">
        <w:rPr>
          <w:rFonts w:ascii="Avenir Book" w:hAnsi="Avenir Book"/>
          <w:color w:val="000000"/>
          <w:sz w:val="21"/>
          <w:szCs w:val="21"/>
        </w:rPr>
        <w:t xml:space="preserve">Prior federal guidance indicated more definitively that stores were not required to allow service animals to be placed in shopping carts. However, and no doubt as a result of the lawsuit captioned Butler v. </w:t>
      </w:r>
      <w:proofErr w:type="spellStart"/>
      <w:r w:rsidRPr="00724CF8">
        <w:rPr>
          <w:rFonts w:ascii="Avenir Book" w:hAnsi="Avenir Book"/>
          <w:color w:val="000000"/>
          <w:sz w:val="21"/>
          <w:szCs w:val="21"/>
        </w:rPr>
        <w:t>Winco</w:t>
      </w:r>
      <w:proofErr w:type="spellEnd"/>
      <w:r w:rsidRPr="00724CF8">
        <w:rPr>
          <w:rFonts w:ascii="Avenir Book" w:hAnsi="Avenir Book"/>
          <w:color w:val="000000"/>
          <w:sz w:val="21"/>
          <w:szCs w:val="21"/>
        </w:rPr>
        <w:t xml:space="preserve"> Foods, LLC, et al., District Court for the Central District of California Case No. 5:12-cv-00980-PA-DTB, which involved a seizure-detecting service animal that needed to be close to the individual’s face and could not reasonably be carried or placed in a chest pack (wearable dog carrier), this guidance has now been softened. </w:t>
      </w:r>
    </w:p>
    <w:p w:rsidR="00406A33" w:rsidRPr="00724CF8" w:rsidRDefault="00406A33" w:rsidP="0074609A">
      <w:pPr>
        <w:spacing w:before="100" w:beforeAutospacing="1" w:after="100" w:afterAutospacing="1"/>
        <w:rPr>
          <w:rFonts w:ascii="Avenir Book" w:hAnsi="Avenir Book"/>
          <w:color w:val="000000"/>
          <w:sz w:val="21"/>
          <w:szCs w:val="21"/>
        </w:rPr>
      </w:pPr>
      <w:r w:rsidRPr="00724CF8">
        <w:rPr>
          <w:rFonts w:ascii="Avenir Book" w:hAnsi="Avenir Book"/>
          <w:color w:val="000000"/>
          <w:sz w:val="21"/>
          <w:szCs w:val="21"/>
        </w:rPr>
        <w:t>The current guidance provides as follows:</w:t>
      </w:r>
    </w:p>
    <w:p w:rsidR="00406A33" w:rsidRPr="00724CF8" w:rsidRDefault="00406A33" w:rsidP="00CE0415">
      <w:pPr>
        <w:pStyle w:val="Quote"/>
        <w:rPr>
          <w:rFonts w:ascii="Avenir Book" w:hAnsi="Avenir Book"/>
          <w:sz w:val="21"/>
          <w:szCs w:val="21"/>
        </w:rPr>
      </w:pPr>
      <w:r w:rsidRPr="00724CF8">
        <w:rPr>
          <w:rFonts w:ascii="Avenir Book" w:hAnsi="Avenir Book"/>
          <w:sz w:val="21"/>
          <w:szCs w:val="21"/>
        </w:rPr>
        <w:t>Q31. Are stores required to allow service animals to be placed in a shopping cart?</w:t>
      </w:r>
    </w:p>
    <w:p w:rsidR="00406A33" w:rsidRPr="00724CF8" w:rsidRDefault="00406A33" w:rsidP="00CE0415">
      <w:pPr>
        <w:pStyle w:val="Quote"/>
        <w:rPr>
          <w:rFonts w:ascii="Avenir Book" w:hAnsi="Avenir Book"/>
          <w:sz w:val="21"/>
          <w:szCs w:val="21"/>
        </w:rPr>
      </w:pPr>
      <w:r w:rsidRPr="00724CF8">
        <w:rPr>
          <w:rFonts w:ascii="Avenir Book" w:hAnsi="Avenir Book"/>
          <w:sz w:val="21"/>
          <w:szCs w:val="21"/>
        </w:rPr>
        <w:t>A. Generally, the dog must stay on the floor, or the person must carry the dog.  For example, if a person with diabetes has a glucose alert dog, he may carry the dog in a chest pack so it can be close to his face to allow the dog to smell his breath to alert him of a change in glucose levels.</w:t>
      </w:r>
    </w:p>
    <w:p w:rsidR="00406A33" w:rsidRPr="00724CF8" w:rsidRDefault="00406A33" w:rsidP="0074609A">
      <w:pPr>
        <w:spacing w:before="100" w:beforeAutospacing="1" w:after="100" w:afterAutospacing="1"/>
        <w:rPr>
          <w:rFonts w:ascii="Avenir Book" w:hAnsi="Avenir Book"/>
          <w:color w:val="000000"/>
          <w:sz w:val="21"/>
          <w:szCs w:val="21"/>
        </w:rPr>
      </w:pPr>
      <w:r w:rsidRPr="00724CF8">
        <w:rPr>
          <w:rFonts w:ascii="Avenir Book" w:hAnsi="Avenir Book"/>
          <w:color w:val="000000"/>
          <w:sz w:val="21"/>
          <w:szCs w:val="21"/>
        </w:rPr>
        <w:t>(Frequently Asked Questions about Service Animals and the ADA, available at http://www.ada.gov/regs2010/service_animal_qa.html.)</w:t>
      </w:r>
    </w:p>
    <w:p w:rsidR="00406A33" w:rsidRPr="00724CF8" w:rsidRDefault="00406A33" w:rsidP="0074609A">
      <w:pPr>
        <w:spacing w:before="100" w:beforeAutospacing="1" w:after="100" w:afterAutospacing="1"/>
        <w:rPr>
          <w:rFonts w:ascii="Avenir Book" w:hAnsi="Avenir Book"/>
          <w:color w:val="000000"/>
          <w:sz w:val="21"/>
          <w:szCs w:val="21"/>
        </w:rPr>
      </w:pPr>
      <w:r w:rsidRPr="00724CF8">
        <w:rPr>
          <w:rFonts w:ascii="Avenir Book" w:hAnsi="Avenir Book"/>
          <w:color w:val="000000"/>
          <w:sz w:val="21"/>
          <w:szCs w:val="21"/>
        </w:rPr>
        <w:t>Based on this revised guidance, public accommodations should consider the appropriateness of a service animal riding in a shopping cart on a case-by-case basis, and certainly not rule it out entirely. Importantly, and while some disability-related websites encourage individuals to bring a blanket or other similar barrier in the event that a service animal will be riding in a shopping cart, individuals are not required to provide such items. Accordingly, your company may wish to consider having such items available, as well as a chest pack, for customers to borrow and use while on the premises.</w:t>
      </w:r>
    </w:p>
    <w:p w:rsidR="00406A33" w:rsidRPr="00D960F9" w:rsidRDefault="00406A33" w:rsidP="00215983">
      <w:pPr>
        <w:pStyle w:val="OutlineL2"/>
        <w:tabs>
          <w:tab w:val="clear" w:pos="1440"/>
          <w:tab w:val="num" w:pos="1080"/>
        </w:tabs>
        <w:rPr>
          <w:rFonts w:ascii="Avenir Book" w:hAnsi="Avenir Book"/>
          <w:b/>
          <w:sz w:val="21"/>
          <w:szCs w:val="21"/>
          <w:shd w:val="clear" w:color="auto" w:fill="FFFFFF"/>
        </w:rPr>
      </w:pPr>
      <w:r w:rsidRPr="00D960F9">
        <w:rPr>
          <w:rFonts w:ascii="Avenir Book" w:hAnsi="Avenir Book"/>
          <w:b/>
          <w:sz w:val="21"/>
          <w:szCs w:val="21"/>
          <w:shd w:val="clear" w:color="auto" w:fill="FFFFFF"/>
        </w:rPr>
        <w:t xml:space="preserve">What Do You Do When You Suspect an Animal May Not Be a Service Animal? </w:t>
      </w:r>
    </w:p>
    <w:p w:rsidR="00406A33" w:rsidRPr="00093CB0" w:rsidRDefault="00406A33" w:rsidP="0074609A">
      <w:pPr>
        <w:rPr>
          <w:rFonts w:ascii="Avenir Book" w:hAnsi="Avenir Book"/>
          <w:sz w:val="21"/>
          <w:szCs w:val="21"/>
          <w:shd w:val="clear" w:color="auto" w:fill="FFFFFF"/>
        </w:rPr>
      </w:pPr>
      <w:r w:rsidRPr="00093CB0">
        <w:rPr>
          <w:rFonts w:ascii="Avenir Book" w:hAnsi="Avenir Book"/>
          <w:sz w:val="21"/>
          <w:szCs w:val="21"/>
          <w:shd w:val="clear" w:color="auto" w:fill="FFFFFF"/>
        </w:rPr>
        <w:lastRenderedPageBreak/>
        <w:t xml:space="preserve">Sometimes it may be hard to tell that an animal is a service animal – or you may even suspect that someone is falsely representing that his or her animal is a service animal. </w:t>
      </w:r>
    </w:p>
    <w:p w:rsidR="00406A33" w:rsidRPr="00093CB0" w:rsidRDefault="00406A33" w:rsidP="0074609A">
      <w:pPr>
        <w:rPr>
          <w:rFonts w:ascii="Avenir Book" w:hAnsi="Avenir Book"/>
          <w:sz w:val="21"/>
          <w:szCs w:val="21"/>
          <w:shd w:val="clear" w:color="auto" w:fill="FFFFFF"/>
        </w:rPr>
      </w:pPr>
    </w:p>
    <w:p w:rsidR="00406A33" w:rsidRPr="00093CB0" w:rsidRDefault="00406A33" w:rsidP="0074609A">
      <w:pPr>
        <w:rPr>
          <w:rFonts w:ascii="Avenir Book" w:hAnsi="Avenir Book"/>
          <w:sz w:val="21"/>
          <w:szCs w:val="21"/>
          <w:shd w:val="clear" w:color="auto" w:fill="FFFFFF"/>
        </w:rPr>
      </w:pPr>
      <w:r w:rsidRPr="00093CB0">
        <w:rPr>
          <w:rFonts w:ascii="Avenir Book" w:hAnsi="Avenir Book"/>
          <w:sz w:val="21"/>
          <w:szCs w:val="21"/>
          <w:shd w:val="clear" w:color="auto" w:fill="FFFFFF"/>
        </w:rPr>
        <w:t>Service animals do not have to be registered or wear a particular identifying article of clothing. This is intended to protect the rights of the disabled, but has the unavoidable consequence of making it hard to easily verify the legitimacy of a particular service animal.</w:t>
      </w:r>
    </w:p>
    <w:p w:rsidR="00406A33" w:rsidRPr="00093CB0" w:rsidRDefault="00406A33" w:rsidP="0074609A">
      <w:pPr>
        <w:rPr>
          <w:rFonts w:ascii="Avenir Book" w:hAnsi="Avenir Book"/>
          <w:sz w:val="21"/>
          <w:szCs w:val="21"/>
          <w:shd w:val="clear" w:color="auto" w:fill="FFFFFF"/>
        </w:rPr>
      </w:pPr>
    </w:p>
    <w:p w:rsidR="00406A33" w:rsidRPr="00093CB0" w:rsidRDefault="00406A33" w:rsidP="0074609A">
      <w:pPr>
        <w:rPr>
          <w:rFonts w:ascii="Avenir Book" w:hAnsi="Avenir Book"/>
          <w:sz w:val="21"/>
          <w:szCs w:val="21"/>
          <w:shd w:val="clear" w:color="auto" w:fill="FFFFFF"/>
        </w:rPr>
      </w:pPr>
      <w:r w:rsidRPr="00093CB0">
        <w:rPr>
          <w:rFonts w:ascii="Avenir Book" w:hAnsi="Avenir Book"/>
          <w:sz w:val="21"/>
          <w:szCs w:val="21"/>
          <w:shd w:val="clear" w:color="auto" w:fill="FFFFFF"/>
        </w:rPr>
        <w:t>In situations where it is not readily apparent that an animal is a service animal, you may ask two questions:</w:t>
      </w:r>
    </w:p>
    <w:p w:rsidR="00406A33" w:rsidRPr="00093CB0" w:rsidRDefault="00406A33" w:rsidP="0074609A">
      <w:pPr>
        <w:rPr>
          <w:rFonts w:ascii="Avenir Book" w:hAnsi="Avenir Book"/>
          <w:sz w:val="21"/>
          <w:szCs w:val="21"/>
          <w:shd w:val="clear" w:color="auto" w:fill="FFFFFF"/>
        </w:rPr>
      </w:pPr>
    </w:p>
    <w:p w:rsidR="00406A33" w:rsidRPr="00093CB0" w:rsidRDefault="00406A33" w:rsidP="0074609A">
      <w:pPr>
        <w:pStyle w:val="ListParagraph"/>
        <w:numPr>
          <w:ilvl w:val="0"/>
          <w:numId w:val="28"/>
        </w:numPr>
        <w:spacing w:after="200"/>
        <w:rPr>
          <w:rFonts w:ascii="Avenir Book" w:hAnsi="Avenir Book"/>
          <w:sz w:val="21"/>
          <w:szCs w:val="21"/>
          <w:shd w:val="clear" w:color="auto" w:fill="FFFFFF"/>
        </w:rPr>
      </w:pPr>
      <w:r w:rsidRPr="00093CB0">
        <w:rPr>
          <w:rFonts w:ascii="Avenir Book" w:hAnsi="Avenir Book"/>
          <w:sz w:val="21"/>
          <w:szCs w:val="21"/>
          <w:shd w:val="clear" w:color="auto" w:fill="FFFFFF"/>
        </w:rPr>
        <w:t>Is this animal required because of a disability?</w:t>
      </w:r>
    </w:p>
    <w:p w:rsidR="00406A33" w:rsidRPr="00093CB0" w:rsidRDefault="00406A33" w:rsidP="00960DFE">
      <w:pPr>
        <w:pStyle w:val="ListParagraph"/>
        <w:spacing w:after="200"/>
        <w:ind w:left="1080"/>
        <w:rPr>
          <w:rFonts w:ascii="Avenir Book" w:hAnsi="Avenir Book"/>
          <w:sz w:val="21"/>
          <w:szCs w:val="21"/>
          <w:shd w:val="clear" w:color="auto" w:fill="FFFFFF"/>
        </w:rPr>
      </w:pPr>
    </w:p>
    <w:p w:rsidR="00406A33" w:rsidRPr="00093CB0" w:rsidRDefault="00406A33" w:rsidP="0074609A">
      <w:pPr>
        <w:pStyle w:val="ListParagraph"/>
        <w:numPr>
          <w:ilvl w:val="0"/>
          <w:numId w:val="28"/>
        </w:numPr>
        <w:spacing w:after="200"/>
        <w:rPr>
          <w:rFonts w:ascii="Avenir Book" w:hAnsi="Avenir Book"/>
          <w:sz w:val="21"/>
          <w:szCs w:val="21"/>
          <w:shd w:val="clear" w:color="auto" w:fill="FFFFFF"/>
        </w:rPr>
      </w:pPr>
      <w:r w:rsidRPr="00093CB0">
        <w:rPr>
          <w:rFonts w:ascii="Avenir Book" w:hAnsi="Avenir Book"/>
          <w:sz w:val="21"/>
          <w:szCs w:val="21"/>
          <w:shd w:val="clear" w:color="auto" w:fill="FFFFFF"/>
        </w:rPr>
        <w:t>What tasks has the animal been trained to perform?</w:t>
      </w:r>
    </w:p>
    <w:p w:rsidR="00406A33" w:rsidRPr="00093CB0" w:rsidRDefault="00406A33" w:rsidP="0074609A">
      <w:pPr>
        <w:rPr>
          <w:rFonts w:ascii="Avenir Book" w:hAnsi="Avenir Book"/>
          <w:sz w:val="21"/>
          <w:szCs w:val="21"/>
          <w:shd w:val="clear" w:color="auto" w:fill="FFFFFF"/>
        </w:rPr>
      </w:pPr>
      <w:r w:rsidRPr="00093CB0">
        <w:rPr>
          <w:rFonts w:ascii="Avenir Book" w:hAnsi="Avenir Book"/>
          <w:sz w:val="21"/>
          <w:szCs w:val="21"/>
          <w:shd w:val="clear" w:color="auto" w:fill="FFFFFF"/>
        </w:rPr>
        <w:t>(</w:t>
      </w:r>
      <w:r w:rsidRPr="00093CB0">
        <w:rPr>
          <w:rFonts w:ascii="Avenir Book" w:hAnsi="Avenir Book"/>
          <w:sz w:val="21"/>
          <w:szCs w:val="21"/>
        </w:rPr>
        <w:t>28 C.F.R. § 36.302(c)(6).)  Since it is not legally required, you</w:t>
      </w:r>
      <w:r w:rsidRPr="00093CB0">
        <w:rPr>
          <w:rFonts w:ascii="Avenir Book" w:hAnsi="Avenir Book"/>
          <w:sz w:val="21"/>
          <w:szCs w:val="21"/>
          <w:shd w:val="clear" w:color="auto" w:fill="FFFFFF"/>
        </w:rPr>
        <w:t xml:space="preserve"> cannot ask for proof of registration or certification as a service animal. You also cannot ask the individual about his or her disability, or ask for the service animal to demonstrate the task for which the animal has been trained.</w:t>
      </w:r>
    </w:p>
    <w:p w:rsidR="00406A33" w:rsidRPr="00093CB0" w:rsidRDefault="00406A33" w:rsidP="0074609A">
      <w:pPr>
        <w:rPr>
          <w:rFonts w:ascii="Avenir Book" w:hAnsi="Avenir Book"/>
          <w:sz w:val="21"/>
          <w:szCs w:val="21"/>
        </w:rPr>
      </w:pPr>
    </w:p>
    <w:p w:rsidR="00406A33" w:rsidRPr="00093CB0" w:rsidRDefault="00406A33" w:rsidP="0074609A">
      <w:pPr>
        <w:rPr>
          <w:rFonts w:ascii="Avenir Book" w:hAnsi="Avenir Book"/>
          <w:sz w:val="21"/>
          <w:szCs w:val="21"/>
          <w:shd w:val="clear" w:color="auto" w:fill="FFFFFF"/>
        </w:rPr>
      </w:pPr>
      <w:r w:rsidRPr="00093CB0">
        <w:rPr>
          <w:rFonts w:ascii="Avenir Book" w:hAnsi="Avenir Book"/>
          <w:sz w:val="21"/>
          <w:szCs w:val="21"/>
          <w:shd w:val="clear" w:color="auto" w:fill="FFFFFF"/>
        </w:rPr>
        <w:t>You should not ask these two questions in cases where it is readily apparent that the animal is a service animal, such as when a visually-impaired person enters your facility with a guide dog. (</w:t>
      </w:r>
      <w:r w:rsidRPr="00093CB0">
        <w:rPr>
          <w:rFonts w:ascii="Avenir Book" w:hAnsi="Avenir Book"/>
          <w:sz w:val="21"/>
          <w:szCs w:val="21"/>
        </w:rPr>
        <w:t xml:space="preserve">28 C.F.R. § 36.302(c)(6).)  </w:t>
      </w:r>
      <w:r w:rsidRPr="00093CB0">
        <w:rPr>
          <w:rFonts w:ascii="Avenir Book" w:hAnsi="Avenir Book"/>
          <w:sz w:val="21"/>
          <w:szCs w:val="21"/>
          <w:shd w:val="clear" w:color="auto" w:fill="FFFFFF"/>
        </w:rPr>
        <w:t xml:space="preserve">In light of this provision, a policy that required company personnel to ask every person with a service animal to respond to these questions would likely be deemed discriminatory. </w:t>
      </w:r>
    </w:p>
    <w:p w:rsidR="00406A33" w:rsidRPr="00093CB0" w:rsidRDefault="00406A33" w:rsidP="0074609A">
      <w:pPr>
        <w:rPr>
          <w:rFonts w:ascii="Avenir Book" w:hAnsi="Avenir Book"/>
          <w:sz w:val="21"/>
          <w:szCs w:val="21"/>
          <w:shd w:val="clear" w:color="auto" w:fill="FFFFFF"/>
        </w:rPr>
      </w:pPr>
    </w:p>
    <w:p w:rsidR="00406A33" w:rsidRPr="00093CB0" w:rsidRDefault="00406A33" w:rsidP="0074609A">
      <w:pPr>
        <w:rPr>
          <w:rFonts w:ascii="Avenir Book" w:hAnsi="Avenir Book"/>
          <w:sz w:val="21"/>
          <w:szCs w:val="21"/>
          <w:shd w:val="clear" w:color="auto" w:fill="FFFFFF"/>
        </w:rPr>
      </w:pPr>
      <w:r w:rsidRPr="00093CB0">
        <w:rPr>
          <w:rFonts w:ascii="Avenir Book" w:hAnsi="Avenir Book"/>
          <w:sz w:val="21"/>
          <w:szCs w:val="21"/>
          <w:shd w:val="clear" w:color="auto" w:fill="FFFFFF"/>
        </w:rPr>
        <w:t>In recent years, and in response to apparent increases in people falsely claiming that their dogs are service animals in order to bring them into places that pets would not otherwise be allowed, businesses have tried to deter such deception by members of the public. For example, some businesses have added language to signs addressing the admittance of service animals referencing the potential legal consequences of falsely representing that an animal is a service animal. An example of one such sign is below.</w:t>
      </w:r>
    </w:p>
    <w:p w:rsidR="00406A33" w:rsidRPr="00093CB0" w:rsidRDefault="00406A33" w:rsidP="0074609A">
      <w:pPr>
        <w:rPr>
          <w:rFonts w:ascii="Avenir Book" w:hAnsi="Avenir Book"/>
          <w:sz w:val="21"/>
          <w:szCs w:val="21"/>
          <w:shd w:val="clear" w:color="auto" w:fill="FFFFFF"/>
        </w:rPr>
      </w:pPr>
    </w:p>
    <w:p w:rsidR="00406A33" w:rsidRPr="00724CF8" w:rsidRDefault="00406A33" w:rsidP="00F735BF">
      <w:pPr>
        <w:jc w:val="center"/>
        <w:rPr>
          <w:rFonts w:ascii="Avenir Book" w:hAnsi="Avenir Book"/>
          <w:sz w:val="21"/>
          <w:szCs w:val="21"/>
        </w:rPr>
      </w:pPr>
      <w:r w:rsidRPr="00724CF8">
        <w:rPr>
          <w:rFonts w:ascii="Avenir Book" w:hAnsi="Avenir Book"/>
          <w:noProof/>
          <w:sz w:val="21"/>
          <w:szCs w:val="21"/>
        </w:rPr>
        <w:drawing>
          <wp:inline distT="0" distB="0" distL="0" distR="0">
            <wp:extent cx="3257321" cy="311827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71622" cy="3131964"/>
                    </a:xfrm>
                    <a:prstGeom prst="rect">
                      <a:avLst/>
                    </a:prstGeom>
                    <a:noFill/>
                    <a:ln>
                      <a:noFill/>
                    </a:ln>
                  </pic:spPr>
                </pic:pic>
              </a:graphicData>
            </a:graphic>
          </wp:inline>
        </w:drawing>
      </w:r>
    </w:p>
    <w:p w:rsidR="00406A33" w:rsidRPr="00724CF8" w:rsidRDefault="00406A33" w:rsidP="00F735BF">
      <w:pPr>
        <w:jc w:val="center"/>
        <w:rPr>
          <w:rFonts w:ascii="Avenir Book" w:hAnsi="Avenir Book"/>
          <w:sz w:val="21"/>
          <w:szCs w:val="21"/>
        </w:rPr>
      </w:pPr>
    </w:p>
    <w:p w:rsidR="00406A33" w:rsidRPr="00724CF8" w:rsidRDefault="00406A33" w:rsidP="00F735BF">
      <w:pPr>
        <w:jc w:val="center"/>
        <w:rPr>
          <w:rFonts w:ascii="Avenir Book" w:hAnsi="Avenir Book"/>
          <w:sz w:val="21"/>
          <w:szCs w:val="21"/>
        </w:rPr>
      </w:pPr>
      <w:r w:rsidRPr="00724CF8">
        <w:rPr>
          <w:rFonts w:ascii="Avenir Book" w:hAnsi="Avenir Book"/>
          <w:sz w:val="21"/>
          <w:szCs w:val="21"/>
        </w:rPr>
        <w:t>(Image obtained at http://media.nbcbayarea.com/images/No+Dog+Sign.jpeg.)</w:t>
      </w:r>
    </w:p>
    <w:p w:rsidR="00406A33" w:rsidRPr="00724CF8" w:rsidRDefault="00406A33" w:rsidP="0074609A">
      <w:pPr>
        <w:rPr>
          <w:rFonts w:ascii="Avenir Book" w:hAnsi="Avenir Book"/>
          <w:sz w:val="21"/>
          <w:szCs w:val="21"/>
        </w:rPr>
      </w:pPr>
    </w:p>
    <w:p w:rsidR="00406A33" w:rsidRPr="00724CF8" w:rsidRDefault="00406A33" w:rsidP="0074609A">
      <w:pPr>
        <w:rPr>
          <w:rFonts w:ascii="Avenir Book" w:hAnsi="Avenir Book"/>
          <w:sz w:val="21"/>
          <w:szCs w:val="21"/>
        </w:rPr>
      </w:pPr>
      <w:r w:rsidRPr="00724CF8">
        <w:rPr>
          <w:rFonts w:ascii="Avenir Book" w:hAnsi="Avenir Book"/>
          <w:sz w:val="21"/>
          <w:szCs w:val="21"/>
        </w:rPr>
        <w:lastRenderedPageBreak/>
        <w:t xml:space="preserve">In addition to being a misdemeanor, California Penal Code section 365.7(a) provides for the imposition of a fine of up to $1,000 for such violations. Some businesses believe that including a reference to the Penal Code in their signs has helped to deter false service animal claims.  </w:t>
      </w:r>
    </w:p>
    <w:p w:rsidR="00406A33" w:rsidRPr="00724CF8" w:rsidRDefault="00406A33" w:rsidP="0074609A">
      <w:pPr>
        <w:rPr>
          <w:rFonts w:ascii="Avenir Book" w:hAnsi="Avenir Book"/>
          <w:sz w:val="21"/>
          <w:szCs w:val="21"/>
        </w:rPr>
      </w:pPr>
    </w:p>
    <w:p w:rsidR="00C44413" w:rsidRDefault="00406A33" w:rsidP="00946E20">
      <w:pPr>
        <w:rPr>
          <w:rFonts w:ascii="Avenir Book" w:hAnsi="Avenir Book"/>
          <w:b/>
          <w:sz w:val="21"/>
          <w:szCs w:val="21"/>
        </w:rPr>
      </w:pPr>
      <w:r w:rsidRPr="00724CF8">
        <w:rPr>
          <w:rFonts w:ascii="Avenir Book" w:hAnsi="Avenir Book"/>
          <w:sz w:val="21"/>
          <w:szCs w:val="21"/>
        </w:rPr>
        <w:t>Importantly, disabled individuals are also concerned about false service animal claims.  Untrained pets or emotional support animals can distract or even cause harm to true service animals – that are trained to be submissive and need to concentrate on their required tasks in order to be effective.</w:t>
      </w:r>
    </w:p>
    <w:p w:rsidR="00946E20" w:rsidRPr="00946E20" w:rsidRDefault="00946E20" w:rsidP="00946E20">
      <w:pPr>
        <w:rPr>
          <w:rFonts w:ascii="Avenir Book" w:hAnsi="Avenir Book"/>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When Can You Exclude a Service Animal?</w:t>
      </w:r>
    </w:p>
    <w:p w:rsidR="00406A33" w:rsidRPr="00724CF8" w:rsidRDefault="00406A33" w:rsidP="0074609A">
      <w:pPr>
        <w:shd w:val="clear" w:color="auto" w:fill="FFFFFF"/>
        <w:spacing w:before="150" w:after="120"/>
        <w:ind w:right="240"/>
        <w:rPr>
          <w:rFonts w:ascii="Avenir Book" w:hAnsi="Avenir Book"/>
          <w:color w:val="000000"/>
          <w:sz w:val="21"/>
          <w:szCs w:val="21"/>
        </w:rPr>
      </w:pPr>
      <w:r w:rsidRPr="00724CF8">
        <w:rPr>
          <w:rFonts w:ascii="Avenir Book" w:hAnsi="Avenir Book"/>
          <w:color w:val="000000"/>
          <w:sz w:val="21"/>
          <w:szCs w:val="21"/>
        </w:rPr>
        <w:t>A public accommodation may ask an individual with a disability to remove a service animal from the premises if:</w:t>
      </w:r>
    </w:p>
    <w:p w:rsidR="00406A33" w:rsidRPr="00C44413" w:rsidRDefault="00406A33" w:rsidP="00C44413">
      <w:pPr>
        <w:pStyle w:val="ListParagraph"/>
        <w:numPr>
          <w:ilvl w:val="0"/>
          <w:numId w:val="29"/>
        </w:numPr>
        <w:shd w:val="clear" w:color="auto" w:fill="FFFFFF"/>
        <w:spacing w:before="150" w:after="120"/>
        <w:ind w:right="240"/>
        <w:rPr>
          <w:rFonts w:ascii="Avenir Book" w:hAnsi="Avenir Book"/>
          <w:color w:val="000000"/>
          <w:sz w:val="21"/>
          <w:szCs w:val="21"/>
        </w:rPr>
      </w:pPr>
      <w:r w:rsidRPr="00724CF8">
        <w:rPr>
          <w:rFonts w:ascii="Avenir Book" w:hAnsi="Avenir Book"/>
          <w:color w:val="000000"/>
          <w:sz w:val="21"/>
          <w:szCs w:val="21"/>
        </w:rPr>
        <w:t>The animal is out of control and the animal’s handler does not take effective action to control it; or</w:t>
      </w:r>
    </w:p>
    <w:p w:rsidR="00406A33" w:rsidRPr="00724CF8" w:rsidRDefault="00406A33" w:rsidP="00082340">
      <w:pPr>
        <w:pStyle w:val="ListParagraph"/>
        <w:numPr>
          <w:ilvl w:val="0"/>
          <w:numId w:val="29"/>
        </w:numPr>
        <w:shd w:val="clear" w:color="auto" w:fill="FFFFFF"/>
        <w:spacing w:after="120"/>
        <w:ind w:right="240"/>
        <w:rPr>
          <w:rFonts w:ascii="Avenir Book" w:hAnsi="Avenir Book"/>
          <w:color w:val="000000"/>
          <w:sz w:val="21"/>
          <w:szCs w:val="21"/>
        </w:rPr>
      </w:pPr>
      <w:r w:rsidRPr="00724CF8">
        <w:rPr>
          <w:rFonts w:ascii="Avenir Book" w:hAnsi="Avenir Book"/>
          <w:color w:val="000000"/>
          <w:sz w:val="21"/>
          <w:szCs w:val="21"/>
        </w:rPr>
        <w:t>The animal is not housebroken.</w:t>
      </w:r>
    </w:p>
    <w:p w:rsidR="00406A33" w:rsidRPr="00724CF8" w:rsidRDefault="00406A33" w:rsidP="0074609A">
      <w:pPr>
        <w:shd w:val="clear" w:color="auto" w:fill="FFFFFF"/>
        <w:spacing w:before="150" w:after="120"/>
        <w:ind w:right="240"/>
        <w:rPr>
          <w:rFonts w:ascii="Avenir Book" w:hAnsi="Avenir Book"/>
          <w:color w:val="000000"/>
          <w:sz w:val="21"/>
          <w:szCs w:val="21"/>
        </w:rPr>
      </w:pPr>
      <w:r w:rsidRPr="00724CF8">
        <w:rPr>
          <w:rFonts w:ascii="Avenir Book" w:hAnsi="Avenir Book"/>
          <w:color w:val="000000"/>
          <w:sz w:val="21"/>
          <w:szCs w:val="21"/>
        </w:rPr>
        <w:t>(28 C.F.R. S 36.302(c)(2).)  Under control means that a service animal must have a harness, leash, or other tether, unless either the handler is unable because of a disability to use a harness, leash, or other tether, or the use of a harness, leash, or other tether would interfere with the service animal´s safe, effective performance of work or tasks, in which case the service animal must be otherwise under the handler’s control (e.g., voice control, signals, or other effective means). (28 C.F.R. S 36.302(c)(4).)  For example, it would be permissible for a person in a wheelchair to utilize a retractable leash so that his or her accompanying service dog could travel distances to pick things up.</w:t>
      </w:r>
    </w:p>
    <w:p w:rsidR="00406A33" w:rsidRPr="00724CF8" w:rsidRDefault="00406A33" w:rsidP="00F35CC2">
      <w:pPr>
        <w:spacing w:before="240"/>
        <w:rPr>
          <w:rFonts w:ascii="Avenir Book" w:hAnsi="Avenir Book"/>
          <w:sz w:val="21"/>
          <w:szCs w:val="21"/>
        </w:rPr>
      </w:pPr>
      <w:r w:rsidRPr="00724CF8">
        <w:rPr>
          <w:rFonts w:ascii="Avenir Book" w:hAnsi="Avenir Book"/>
          <w:color w:val="000000"/>
          <w:sz w:val="21"/>
          <w:szCs w:val="21"/>
        </w:rPr>
        <w:t xml:space="preserve">Under control also means that </w:t>
      </w:r>
      <w:r w:rsidRPr="00724CF8">
        <w:rPr>
          <w:rFonts w:ascii="Avenir Book" w:hAnsi="Avenir Book" w:cs="Arial"/>
          <w:color w:val="000000"/>
          <w:sz w:val="21"/>
          <w:szCs w:val="21"/>
        </w:rPr>
        <w:t xml:space="preserve">a service animal should not be allowed to bark repeatedly in a lecture hall, theater, library, or other quiet place.  </w:t>
      </w:r>
      <w:r w:rsidRPr="00724CF8">
        <w:rPr>
          <w:rFonts w:ascii="Avenir Book" w:hAnsi="Avenir Book"/>
          <w:color w:val="000000"/>
          <w:sz w:val="21"/>
          <w:szCs w:val="21"/>
        </w:rPr>
        <w:t>(Frequently Asked Questions about Service Animals and the ADA, available at http://www.ada.gov/regs2010/service_animal_qa.html.)</w:t>
      </w:r>
    </w:p>
    <w:p w:rsidR="00406A33" w:rsidRPr="00724CF8" w:rsidRDefault="00406A33" w:rsidP="00406A33">
      <w:pPr>
        <w:shd w:val="clear" w:color="auto" w:fill="FFFFFF"/>
        <w:spacing w:before="240" w:after="120"/>
        <w:ind w:right="240"/>
        <w:rPr>
          <w:rFonts w:ascii="Avenir Book" w:hAnsi="Avenir Book"/>
          <w:color w:val="000000"/>
          <w:sz w:val="21"/>
          <w:szCs w:val="21"/>
        </w:rPr>
      </w:pPr>
      <w:r w:rsidRPr="00724CF8">
        <w:rPr>
          <w:rFonts w:ascii="Avenir Book" w:hAnsi="Avenir Book"/>
          <w:color w:val="000000"/>
          <w:sz w:val="21"/>
          <w:szCs w:val="21"/>
        </w:rPr>
        <w:t xml:space="preserve">If a service animal is properly excluded, the public accommodation must still give the person with a disability the opportunity to obtain goods, services, and accommodations without having the service animal on the premises. (28 C.F.R. S 36.302(c)(3).) </w:t>
      </w:r>
    </w:p>
    <w:p w:rsidR="00406A33" w:rsidRPr="00724CF8" w:rsidRDefault="00406A33" w:rsidP="00406A33">
      <w:pPr>
        <w:spacing w:after="200" w:line="276" w:lineRule="auto"/>
        <w:rPr>
          <w:rFonts w:ascii="Avenir Book" w:hAnsi="Avenir Book"/>
          <w:sz w:val="21"/>
          <w:szCs w:val="21"/>
        </w:rPr>
      </w:pPr>
      <w:r w:rsidRPr="00724CF8">
        <w:rPr>
          <w:rFonts w:ascii="Avenir Book" w:hAnsi="Avenir Book"/>
          <w:sz w:val="21"/>
          <w:szCs w:val="21"/>
        </w:rPr>
        <w:br w:type="page"/>
      </w:r>
    </w:p>
    <w:p w:rsidR="00406A33" w:rsidRPr="00215983" w:rsidRDefault="00215983" w:rsidP="00215983">
      <w:pPr>
        <w:pStyle w:val="OutlineL1"/>
        <w:tabs>
          <w:tab w:val="clear" w:pos="720"/>
          <w:tab w:val="num" w:pos="360"/>
        </w:tabs>
        <w:rPr>
          <w:rFonts w:ascii="Avenir Book" w:hAnsi="Avenir Book"/>
          <w:b/>
          <w:sz w:val="21"/>
          <w:szCs w:val="21"/>
        </w:rPr>
      </w:pPr>
      <w:r w:rsidRPr="00215983">
        <w:rPr>
          <w:rFonts w:ascii="Avenir Book" w:hAnsi="Avenir Book"/>
          <w:b/>
          <w:sz w:val="21"/>
          <w:szCs w:val="21"/>
        </w:rPr>
        <w:lastRenderedPageBreak/>
        <w:t>COMMUNICATION ISSUES /AUXILIARY AIDS AND SERVICES</w:t>
      </w:r>
    </w:p>
    <w:p w:rsidR="00406A33" w:rsidRPr="00D960F9" w:rsidRDefault="00406A33" w:rsidP="00215983">
      <w:pPr>
        <w:pStyle w:val="OutlineL2"/>
        <w:tabs>
          <w:tab w:val="clear" w:pos="1440"/>
          <w:tab w:val="num" w:pos="1080"/>
        </w:tabs>
        <w:rPr>
          <w:rFonts w:ascii="Avenir Book" w:hAnsi="Avenir Book"/>
          <w:b/>
          <w:sz w:val="21"/>
          <w:szCs w:val="21"/>
        </w:rPr>
      </w:pPr>
      <w:bookmarkStart w:id="2" w:name="Anchor-97857"/>
      <w:bookmarkEnd w:id="2"/>
      <w:r w:rsidRPr="00D960F9">
        <w:rPr>
          <w:rFonts w:ascii="Avenir Book" w:hAnsi="Avenir Book"/>
          <w:b/>
          <w:sz w:val="21"/>
          <w:szCs w:val="21"/>
        </w:rPr>
        <w:t>General Obligations</w:t>
      </w:r>
    </w:p>
    <w:p w:rsidR="00406A33" w:rsidRPr="00724CF8" w:rsidRDefault="00406A33" w:rsidP="00187F7E">
      <w:pPr>
        <w:pStyle w:val="OutlineL1"/>
        <w:numPr>
          <w:ilvl w:val="0"/>
          <w:numId w:val="0"/>
        </w:numPr>
        <w:rPr>
          <w:rFonts w:ascii="Avenir Book" w:hAnsi="Avenir Book"/>
          <w:sz w:val="21"/>
          <w:szCs w:val="21"/>
        </w:rPr>
      </w:pPr>
      <w:r w:rsidRPr="00724CF8">
        <w:rPr>
          <w:rFonts w:ascii="Avenir Book" w:hAnsi="Avenir Book"/>
          <w:sz w:val="21"/>
          <w:szCs w:val="21"/>
        </w:rPr>
        <w:t>A public accommodation must take those steps that may be necessary to ensure that no individual with a disability is excluded, denied services, segregated or otherwise treated differently than other individuals because of the absence of auxiliary aids and services, unless the public accommodation can demonstrate that taking those steps would fundamentally alter the nature of the goods, services, facilities, privileges, advantages, or accommodations being offered or would result in an undue burden, i.e., significant difficulty or expense. (28 C.F.R. § 36.303(a).)</w:t>
      </w:r>
    </w:p>
    <w:p w:rsidR="00406A33" w:rsidRPr="00724CF8" w:rsidRDefault="00406A33" w:rsidP="00406A33">
      <w:pPr>
        <w:pStyle w:val="OutlineL1"/>
        <w:numPr>
          <w:ilvl w:val="0"/>
          <w:numId w:val="0"/>
        </w:numPr>
        <w:rPr>
          <w:rFonts w:ascii="Avenir Book" w:hAnsi="Avenir Book"/>
          <w:sz w:val="21"/>
          <w:szCs w:val="21"/>
        </w:rPr>
      </w:pPr>
      <w:r w:rsidRPr="00724CF8">
        <w:rPr>
          <w:rFonts w:ascii="Avenir Book" w:hAnsi="Avenir Book"/>
          <w:sz w:val="21"/>
          <w:szCs w:val="21"/>
        </w:rPr>
        <w:t xml:space="preserve">The ADA requires that public accommodations provide appropriate auxiliary aids and services so as to ensure effective communication with individuals with hearing, speech, or vision impairments.  (28 C.F.R. § 36.303(c)(1).)  Examples of auxiliary aids include: qualified interpreters, assistive listening devices, </w:t>
      </w:r>
      <w:proofErr w:type="spellStart"/>
      <w:r w:rsidRPr="00724CF8">
        <w:rPr>
          <w:rFonts w:ascii="Avenir Book" w:hAnsi="Avenir Book"/>
          <w:sz w:val="21"/>
          <w:szCs w:val="21"/>
        </w:rPr>
        <w:t>notetakers</w:t>
      </w:r>
      <w:proofErr w:type="spellEnd"/>
      <w:r w:rsidRPr="00724CF8">
        <w:rPr>
          <w:rFonts w:ascii="Avenir Book" w:hAnsi="Avenir Book"/>
          <w:sz w:val="21"/>
          <w:szCs w:val="21"/>
        </w:rPr>
        <w:t xml:space="preserve">, written materials, qualified readers, taped texts, and </w:t>
      </w:r>
      <w:proofErr w:type="spellStart"/>
      <w:r w:rsidRPr="00724CF8">
        <w:rPr>
          <w:rFonts w:ascii="Avenir Book" w:hAnsi="Avenir Book"/>
          <w:sz w:val="21"/>
          <w:szCs w:val="21"/>
        </w:rPr>
        <w:t>Brailled</w:t>
      </w:r>
      <w:proofErr w:type="spellEnd"/>
      <w:r w:rsidRPr="00724CF8">
        <w:rPr>
          <w:rFonts w:ascii="Avenir Book" w:hAnsi="Avenir Book"/>
          <w:sz w:val="21"/>
          <w:szCs w:val="21"/>
        </w:rPr>
        <w:t xml:space="preserve"> or large print materials. (28 C.F.R. § 36.303(b).)</w:t>
      </w:r>
    </w:p>
    <w:p w:rsidR="00406A33" w:rsidRPr="00724CF8" w:rsidRDefault="00406A33" w:rsidP="00406A33">
      <w:pPr>
        <w:pStyle w:val="OutlineL1"/>
        <w:numPr>
          <w:ilvl w:val="0"/>
          <w:numId w:val="0"/>
        </w:numPr>
        <w:rPr>
          <w:rFonts w:ascii="Avenir Book" w:hAnsi="Avenir Book"/>
          <w:sz w:val="21"/>
          <w:szCs w:val="21"/>
        </w:rPr>
      </w:pPr>
      <w:r w:rsidRPr="00724CF8">
        <w:rPr>
          <w:rFonts w:ascii="Avenir Book" w:hAnsi="Avenir Book"/>
          <w:sz w:val="21"/>
          <w:szCs w:val="21"/>
        </w:rPr>
        <w:t xml:space="preserve">The type of auxiliary aid or service necessary to ensure effective communication will vary based on such factors as: the method of communication used by the individual; the nature, length, and complexity of the communication involved; and the context in which the communication is taking place.  (28 C.F.R. § 36.303(c)(1)(ii).)  You should consult with individuals with disabilities whenever possible to determine what type of auxiliary aid is needed to ensure effective communication with them, </w:t>
      </w:r>
      <w:r w:rsidRPr="00724CF8">
        <w:rPr>
          <w:rFonts w:ascii="Avenir Book" w:hAnsi="Avenir Book"/>
          <w:sz w:val="21"/>
          <w:szCs w:val="21"/>
          <w:u w:val="single"/>
        </w:rPr>
        <w:t>but the ultimate decision as to what measures to take rests with you</w:t>
      </w:r>
      <w:r w:rsidRPr="00724CF8">
        <w:rPr>
          <w:rFonts w:ascii="Avenir Book" w:hAnsi="Avenir Book"/>
          <w:sz w:val="21"/>
          <w:szCs w:val="21"/>
        </w:rPr>
        <w:t>, provided that the method chosen results in effective communication.  (Id.) In order to be effective, auxiliary aids and services must be provided in accessible formats, in a timely manner, and in such a way as to protect the privacy and independence of the individual with a disability. (Id.)</w:t>
      </w:r>
    </w:p>
    <w:p w:rsidR="00406A33" w:rsidRPr="00724CF8" w:rsidRDefault="00406A33" w:rsidP="00406A33">
      <w:pPr>
        <w:pStyle w:val="OutlineL1"/>
        <w:numPr>
          <w:ilvl w:val="0"/>
          <w:numId w:val="0"/>
        </w:numPr>
        <w:rPr>
          <w:rFonts w:ascii="Avenir Book" w:hAnsi="Avenir Book"/>
          <w:sz w:val="21"/>
          <w:szCs w:val="21"/>
        </w:rPr>
      </w:pPr>
      <w:r w:rsidRPr="00724CF8">
        <w:rPr>
          <w:rFonts w:ascii="Avenir Book" w:hAnsi="Avenir Book"/>
          <w:sz w:val="21"/>
          <w:szCs w:val="21"/>
        </w:rPr>
        <w:t xml:space="preserve">If the provision of a particular auxiliary aid or service by a public accommodation would result in a fundamental alteration in the nature of the goods, services, facilities, privileges, advantages, or accommodations being offered or result in an undue burden (i.e., significant difficulty or expense), the public accommodation must provide an alternative auxiliary aid or service, if one exists, that would not result in an alteration or such burden but would nevertheless ensure that, to the maximum extent possible, individuals with disabilities receive the goods, services, facilities, privileges, advantages, or accommodations offered by the public accommodation. (28 C.F.R. § 36.303(g).) </w:t>
      </w:r>
    </w:p>
    <w:p w:rsidR="00406A33" w:rsidRPr="00D960F9" w:rsidRDefault="00406A33" w:rsidP="00D960F9">
      <w:pPr>
        <w:pStyle w:val="OutlineL2"/>
        <w:tabs>
          <w:tab w:val="clear" w:pos="1440"/>
          <w:tab w:val="num" w:pos="1080"/>
        </w:tabs>
        <w:rPr>
          <w:rFonts w:ascii="Avenir Book" w:hAnsi="Avenir Book"/>
          <w:b/>
          <w:sz w:val="21"/>
          <w:szCs w:val="21"/>
        </w:rPr>
      </w:pPr>
      <w:r w:rsidRPr="00D960F9">
        <w:rPr>
          <w:rFonts w:ascii="Avenir Book" w:hAnsi="Avenir Book"/>
          <w:b/>
          <w:sz w:val="21"/>
          <w:szCs w:val="21"/>
        </w:rPr>
        <w:t>Common Issues With Auxiliary Aids and Services</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Public accommodations should evaluate all ways in which they communicate with the public in order to ensure they are providing appropriate auxiliary aids and services to persons with disabilities. Specific modes of communication that may be relevant to grocery store operations are also addressed in greater detail below.</w:t>
      </w:r>
    </w:p>
    <w:p w:rsidR="00406A33" w:rsidRPr="00724CF8" w:rsidRDefault="00406A33" w:rsidP="00406A33">
      <w:pPr>
        <w:pStyle w:val="BodyText"/>
        <w:rPr>
          <w:rFonts w:ascii="Avenir Book" w:hAnsi="Avenir Book"/>
          <w:sz w:val="21"/>
          <w:szCs w:val="21"/>
        </w:rPr>
      </w:pPr>
    </w:p>
    <w:p w:rsidR="00406A33" w:rsidRPr="00724CF8" w:rsidRDefault="00406A33" w:rsidP="00406A33">
      <w:pPr>
        <w:pStyle w:val="BodyText"/>
        <w:rPr>
          <w:rFonts w:ascii="Avenir Book" w:hAnsi="Avenir Book"/>
          <w:sz w:val="21"/>
          <w:szCs w:val="21"/>
        </w:rPr>
      </w:pPr>
    </w:p>
    <w:p w:rsidR="00406A33" w:rsidRPr="00724CF8" w:rsidRDefault="00406A33" w:rsidP="00215983">
      <w:pPr>
        <w:pStyle w:val="OutlineL3"/>
        <w:tabs>
          <w:tab w:val="clear" w:pos="2160"/>
          <w:tab w:val="num" w:pos="1800"/>
        </w:tabs>
        <w:rPr>
          <w:rFonts w:ascii="Avenir Book" w:hAnsi="Avenir Book"/>
          <w:sz w:val="21"/>
          <w:szCs w:val="21"/>
          <w:u w:val="single"/>
        </w:rPr>
      </w:pPr>
      <w:r w:rsidRPr="00724CF8">
        <w:rPr>
          <w:rFonts w:ascii="Avenir Book" w:hAnsi="Avenir Book"/>
          <w:sz w:val="21"/>
          <w:szCs w:val="21"/>
          <w:u w:val="single"/>
        </w:rPr>
        <w:t xml:space="preserve">Telecommunications </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Telecommunications include communications with live persons, such as call centers and customer service lines. Telecommunications also include automated-attendant systems, including voicemail and messaging, and interactive voice response systems for receiving and directing incoming telephone calls. Specific requirements for accessible telecommunication services are detailed in the federal regulations. (28 C.F.R. § 36.303(d).)</w:t>
      </w:r>
    </w:p>
    <w:p w:rsidR="00406A33" w:rsidRPr="00724CF8" w:rsidRDefault="00406A33" w:rsidP="00215983">
      <w:pPr>
        <w:pStyle w:val="OutlineL3"/>
        <w:tabs>
          <w:tab w:val="clear" w:pos="2160"/>
          <w:tab w:val="num" w:pos="1800"/>
        </w:tabs>
        <w:rPr>
          <w:rFonts w:ascii="Avenir Book" w:hAnsi="Avenir Book"/>
          <w:sz w:val="21"/>
          <w:szCs w:val="21"/>
          <w:u w:val="single"/>
        </w:rPr>
      </w:pPr>
      <w:r w:rsidRPr="00724CF8">
        <w:rPr>
          <w:rFonts w:ascii="Avenir Book" w:hAnsi="Avenir Book"/>
          <w:sz w:val="21"/>
          <w:szCs w:val="21"/>
          <w:u w:val="single"/>
        </w:rPr>
        <w:t>Websites</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 xml:space="preserve">The ADA regulations do not currently contain requirements for the accessibility of website information. However, the Department of Justice is considering the adoption of standards for website accessibility, and it is anticipated that such standards will ultimately be adopted. In the meantime, Department of Justice guidance provides useful insight regarding ways to incorporate accessible features on websites, and should be consulted to identify and correct potential areas of noncompliance. (See, e.g., Website Accessibility Under Title II of the ADA, available at http://www.ada.gov/pcatoolkit/chap5toolkit.htm.) </w:t>
      </w:r>
    </w:p>
    <w:p w:rsidR="00406A33" w:rsidRPr="00724CF8" w:rsidRDefault="00406A33" w:rsidP="00B83476">
      <w:pPr>
        <w:rPr>
          <w:rFonts w:ascii="Avenir Book" w:hAnsi="Avenir Book"/>
          <w:sz w:val="21"/>
          <w:szCs w:val="21"/>
        </w:rPr>
      </w:pPr>
      <w:r w:rsidRPr="00724CF8">
        <w:rPr>
          <w:rFonts w:ascii="Avenir Book" w:hAnsi="Avenir Book"/>
          <w:sz w:val="21"/>
          <w:szCs w:val="21"/>
        </w:rPr>
        <w:br w:type="page"/>
      </w:r>
    </w:p>
    <w:p w:rsidR="00406A33" w:rsidRPr="00215983" w:rsidRDefault="00215983" w:rsidP="00215983">
      <w:pPr>
        <w:pStyle w:val="OutlineL1"/>
        <w:tabs>
          <w:tab w:val="clear" w:pos="720"/>
          <w:tab w:val="num" w:pos="360"/>
        </w:tabs>
        <w:rPr>
          <w:rFonts w:ascii="Avenir Book" w:hAnsi="Avenir Book"/>
          <w:b/>
          <w:sz w:val="21"/>
          <w:szCs w:val="21"/>
        </w:rPr>
      </w:pPr>
      <w:r w:rsidRPr="00215983">
        <w:rPr>
          <w:rFonts w:ascii="Avenir Book" w:hAnsi="Avenir Book"/>
          <w:b/>
          <w:sz w:val="21"/>
          <w:szCs w:val="21"/>
        </w:rPr>
        <w:lastRenderedPageBreak/>
        <w:t>COMMON ISSUES ASSOCIATED WITH ADDITIONAL FEATURES AND SERVICES</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The following are additional issues and requirements related to features and services commonly provided in or adjacent to grocery stores.</w:t>
      </w: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Dining and Work Areas</w:t>
      </w:r>
    </w:p>
    <w:p w:rsidR="00406A33" w:rsidRPr="00724CF8" w:rsidRDefault="00406A33" w:rsidP="00B35A7C">
      <w:pPr>
        <w:shd w:val="clear" w:color="auto" w:fill="FFFFFF"/>
        <w:spacing w:before="120" w:after="120" w:line="270" w:lineRule="atLeast"/>
        <w:textAlignment w:val="baseline"/>
        <w:rPr>
          <w:rFonts w:ascii="Avenir Book" w:hAnsi="Avenir Book"/>
          <w:color w:val="000000"/>
          <w:sz w:val="21"/>
          <w:szCs w:val="21"/>
        </w:rPr>
      </w:pPr>
      <w:r w:rsidRPr="00724CF8">
        <w:rPr>
          <w:rFonts w:ascii="Avenir Book" w:hAnsi="Avenir Book"/>
          <w:color w:val="000000"/>
          <w:sz w:val="21"/>
          <w:szCs w:val="21"/>
        </w:rPr>
        <w:t>Dining areas include, but are not limited to, bars, tables, lunch counters, and booths. Work areas include writing surfaces, baby changing and other tables or fixtures for personal grooming, and coupon counters. (ADAAG 902.1; CBC 11B-902.1.)</w:t>
      </w:r>
    </w:p>
    <w:p w:rsidR="00406A33" w:rsidRPr="00724CF8" w:rsidRDefault="00406A33" w:rsidP="00B35A7C">
      <w:pPr>
        <w:shd w:val="clear" w:color="auto" w:fill="FFFFFF"/>
        <w:spacing w:before="120" w:after="120" w:line="270" w:lineRule="atLeast"/>
        <w:textAlignment w:val="baseline"/>
        <w:rPr>
          <w:rFonts w:ascii="Avenir Book" w:hAnsi="Avenir Book"/>
          <w:color w:val="000000"/>
          <w:sz w:val="21"/>
          <w:szCs w:val="21"/>
        </w:rPr>
      </w:pPr>
      <w:r w:rsidRPr="00724CF8">
        <w:rPr>
          <w:rFonts w:ascii="Avenir Book" w:hAnsi="Avenir Book"/>
          <w:color w:val="000000"/>
          <w:sz w:val="21"/>
          <w:szCs w:val="21"/>
        </w:rPr>
        <w:t xml:space="preserve">Any dining or work areas provided in a place of public accommodation, including must comply with requirements related to clear floor or ground space (including knee and toe clearance), and requirements for the height of dining or work surfaces. (ADAAG 902.2, 902.3; CBC 11B-902.2, 11B-902.3.) As in various other areas of the ADA, there are also particular requirements for such areas provided for children’s use. (ADAAG 902.4; CBC 11B-902.4.) </w:t>
      </w:r>
    </w:p>
    <w:p w:rsidR="00406A33" w:rsidRPr="00724CF8" w:rsidRDefault="00406A33">
      <w:pPr>
        <w:rPr>
          <w:rFonts w:ascii="Avenir Book" w:hAnsi="Avenir Book"/>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Trash Cans or Other Collection Bins</w:t>
      </w: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Where provided, at least one of each type provided at each location must comply with clear floor or ground space, height/reach range requirements, and operable parts requirements. (ADAAG 811.2-811.4; CBC 11B-8.11.2-11B-8.11.4.)</w:t>
      </w:r>
    </w:p>
    <w:p w:rsidR="00406A33" w:rsidRPr="00724CF8" w:rsidRDefault="00406A33" w:rsidP="00215983">
      <w:pPr>
        <w:tabs>
          <w:tab w:val="num" w:pos="1080"/>
        </w:tabs>
        <w:rPr>
          <w:rFonts w:ascii="Avenir Book" w:hAnsi="Avenir Book"/>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Automatic Teller Machines (ATMs)</w:t>
      </w: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 xml:space="preserve">Where provided, at least one of each type provided at each location must comply with applicable requirements. (ADAAG 220.1; CBC 11B-220.1.) These requirements include clear floor or ground space requirements (ADAAG 707.2; CBC 11B-707.2) and operable parts requirements (ADAAG 707.3; CBC 11B-707.3), as well as various specific requirements specifically related to the use of an ATM, including: privacy requirements (ADAAG 707.4; CBC 11B-707.4); speech output and audible tone requirements (ADAAG 707.5; CBC 11B-707.5); input control requirements (ADAAG 707.6; CBC 11B-707.6); display screen requirements (ADAAG 707.7; CBC 11B-707.7); and Braille instruction requirements (ADAAG 707.8; CBC 11B-707.8). </w:t>
      </w:r>
    </w:p>
    <w:p w:rsidR="00406A33" w:rsidRPr="00724CF8" w:rsidRDefault="00406A33" w:rsidP="00215983">
      <w:pPr>
        <w:tabs>
          <w:tab w:val="num" w:pos="1080"/>
        </w:tabs>
        <w:rPr>
          <w:rFonts w:ascii="Avenir Book" w:hAnsi="Avenir Book"/>
          <w:sz w:val="21"/>
          <w:szCs w:val="21"/>
        </w:rPr>
      </w:pPr>
    </w:p>
    <w:p w:rsidR="00406A33" w:rsidRPr="00724CF8" w:rsidRDefault="00406A33" w:rsidP="00215983">
      <w:pPr>
        <w:tabs>
          <w:tab w:val="num" w:pos="1080"/>
        </w:tabs>
        <w:rPr>
          <w:rFonts w:ascii="Avenir Book" w:hAnsi="Avenir Book"/>
          <w:color w:val="000000"/>
          <w:sz w:val="21"/>
          <w:szCs w:val="21"/>
        </w:rPr>
      </w:pPr>
      <w:r w:rsidRPr="00724CF8">
        <w:rPr>
          <w:rFonts w:ascii="Avenir Book" w:hAnsi="Avenir Book"/>
          <w:color w:val="000000"/>
          <w:sz w:val="21"/>
          <w:szCs w:val="21"/>
        </w:rPr>
        <w:t xml:space="preserve">Accessible ATMs, including those with speech and those that are within reach of people who use wheelchairs, must provide all the functions provided to customers at that location at all times.  (ADAAG 220.1; </w:t>
      </w:r>
      <w:r w:rsidRPr="00724CF8">
        <w:rPr>
          <w:rFonts w:ascii="Avenir Book" w:hAnsi="Avenir Book"/>
          <w:sz w:val="21"/>
          <w:szCs w:val="21"/>
        </w:rPr>
        <w:t>CBC 11B-220.1</w:t>
      </w:r>
      <w:r w:rsidRPr="00724CF8">
        <w:rPr>
          <w:rFonts w:ascii="Avenir Book" w:hAnsi="Avenir Book"/>
          <w:color w:val="000000"/>
          <w:sz w:val="21"/>
          <w:szCs w:val="21"/>
        </w:rPr>
        <w:t>.) For example, compliance is not satisfied if the accessible ATM only provides cash withdrawals while inaccessible ATMs also sell stamps or tickets.</w:t>
      </w:r>
    </w:p>
    <w:p w:rsidR="00406A33" w:rsidRDefault="00406A33" w:rsidP="00215983">
      <w:pPr>
        <w:tabs>
          <w:tab w:val="num" w:pos="1080"/>
        </w:tabs>
        <w:rPr>
          <w:rFonts w:ascii="Avenir Book" w:hAnsi="Avenir Book"/>
          <w:color w:val="000000"/>
          <w:sz w:val="21"/>
          <w:szCs w:val="21"/>
        </w:rPr>
      </w:pPr>
    </w:p>
    <w:p w:rsidR="00973B7C" w:rsidRDefault="00973B7C" w:rsidP="00215983">
      <w:pPr>
        <w:tabs>
          <w:tab w:val="num" w:pos="1080"/>
        </w:tabs>
        <w:rPr>
          <w:rFonts w:ascii="Avenir Book" w:hAnsi="Avenir Book"/>
          <w:color w:val="000000"/>
          <w:sz w:val="21"/>
          <w:szCs w:val="21"/>
        </w:rPr>
      </w:pPr>
    </w:p>
    <w:p w:rsidR="00973B7C" w:rsidRDefault="00973B7C" w:rsidP="00215983">
      <w:pPr>
        <w:tabs>
          <w:tab w:val="num" w:pos="1080"/>
        </w:tabs>
        <w:rPr>
          <w:rFonts w:ascii="Avenir Book" w:hAnsi="Avenir Book"/>
          <w:color w:val="000000"/>
          <w:sz w:val="21"/>
          <w:szCs w:val="21"/>
        </w:rPr>
      </w:pPr>
    </w:p>
    <w:p w:rsidR="00973B7C" w:rsidRPr="00724CF8" w:rsidRDefault="00973B7C" w:rsidP="00215983">
      <w:pPr>
        <w:tabs>
          <w:tab w:val="num" w:pos="1080"/>
        </w:tabs>
        <w:rPr>
          <w:rFonts w:ascii="Avenir Book" w:hAnsi="Avenir Book"/>
          <w:color w:val="000000"/>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Kiosks</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 xml:space="preserve">There are no regulatory requirements specifically addressing kiosks, including such things as movie rental kiosks and kiosks that dispense lottery tickets or change.  However, there have nonetheless been lawsuits filed against businesses that utilize these features.  For example, in February of 2015, Redbox, which provides video rental kiosks, settled the class action captioned Lighthouse for the Blind and Visually Impaired, et al. v. Redbox Automated Retail LLC, et al., Northern District of California Case No. 4:12-cv-00195, which alleged that the Redbox kiosks failed to meet access requirements for blind and visually-impaired users.  As part of the settlement, which also included a $1.2 million dollar class award, Redbox agreed to make changes to both its kiosk interface and its website to improve accessibility for visually impaired persons. </w:t>
      </w:r>
    </w:p>
    <w:p w:rsidR="00406A33" w:rsidRPr="00724CF8" w:rsidRDefault="00406A33" w:rsidP="00406A33">
      <w:pPr>
        <w:pStyle w:val="BodyText"/>
        <w:rPr>
          <w:rFonts w:ascii="Avenir Book" w:hAnsi="Avenir Book"/>
          <w:sz w:val="21"/>
          <w:szCs w:val="21"/>
        </w:rPr>
      </w:pPr>
      <w:r w:rsidRPr="00724CF8">
        <w:rPr>
          <w:rFonts w:ascii="Avenir Book" w:hAnsi="Avenir Book"/>
          <w:sz w:val="21"/>
          <w:szCs w:val="21"/>
        </w:rPr>
        <w:t>The takeaway from this and other similar lawsuits is clear: even though no specific technical requirements exist, public accommodations should evaluate such features on their own premises to determine accessibility issues and take steps to mitigate them when possible – even if that may mean removing such features until the associated vendor comes into compliance.</w:t>
      </w:r>
    </w:p>
    <w:p w:rsidR="00406A33" w:rsidRPr="00724CF8" w:rsidRDefault="00406A33" w:rsidP="00406A33">
      <w:pPr>
        <w:pStyle w:val="BodyText"/>
        <w:rPr>
          <w:rFonts w:ascii="Avenir Book" w:hAnsi="Avenir Book"/>
          <w:sz w:val="21"/>
          <w:szCs w:val="21"/>
        </w:rPr>
      </w:pPr>
    </w:p>
    <w:p w:rsidR="00406A33" w:rsidRPr="00724CF8" w:rsidRDefault="00406A33" w:rsidP="00406A33">
      <w:pPr>
        <w:pStyle w:val="BodyText"/>
        <w:rPr>
          <w:rFonts w:ascii="Avenir Book" w:hAnsi="Avenir Book"/>
          <w:sz w:val="21"/>
          <w:szCs w:val="21"/>
        </w:rPr>
      </w:pPr>
    </w:p>
    <w:p w:rsidR="00406A33" w:rsidRPr="00724CF8" w:rsidRDefault="00406A33" w:rsidP="00B83476">
      <w:pPr>
        <w:spacing w:after="200" w:line="276" w:lineRule="auto"/>
        <w:rPr>
          <w:rFonts w:ascii="Avenir Book" w:hAnsi="Avenir Book"/>
          <w:sz w:val="21"/>
          <w:szCs w:val="21"/>
        </w:rPr>
      </w:pPr>
      <w:r w:rsidRPr="00724CF8">
        <w:rPr>
          <w:rFonts w:ascii="Avenir Book" w:hAnsi="Avenir Book"/>
          <w:sz w:val="21"/>
          <w:szCs w:val="21"/>
        </w:rPr>
        <w:br w:type="page"/>
      </w:r>
    </w:p>
    <w:p w:rsidR="00406A33" w:rsidRPr="00215983" w:rsidRDefault="00215983" w:rsidP="00215983">
      <w:pPr>
        <w:pStyle w:val="OutlineL1"/>
        <w:tabs>
          <w:tab w:val="clear" w:pos="720"/>
          <w:tab w:val="num" w:pos="360"/>
        </w:tabs>
        <w:rPr>
          <w:rFonts w:ascii="Avenir Book" w:hAnsi="Avenir Book"/>
          <w:b/>
          <w:sz w:val="21"/>
          <w:szCs w:val="21"/>
        </w:rPr>
      </w:pPr>
      <w:r w:rsidRPr="00215983">
        <w:rPr>
          <w:rFonts w:ascii="Avenir Book" w:hAnsi="Avenir Book"/>
          <w:b/>
          <w:sz w:val="21"/>
          <w:szCs w:val="21"/>
        </w:rPr>
        <w:lastRenderedPageBreak/>
        <w:t>RECEIVING AND PROCESSING ACCESS COMPLAINTS</w:t>
      </w: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 xml:space="preserve">Procedures For Handling Complaints </w:t>
      </w: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Quick and effective responses to disability access complaints may help avoid legal liability as well as support customer service goals. Accordingly, all public accommodations should have a policy and practice for handling complaints regarding disability access. Public accommodations should also provide training to all personnel regarding applicable disability access requirements and how to respond to disability access requests and complaints.</w:t>
      </w:r>
    </w:p>
    <w:p w:rsidR="00406A33" w:rsidRPr="00724CF8" w:rsidRDefault="00406A33" w:rsidP="00215983">
      <w:pPr>
        <w:tabs>
          <w:tab w:val="num" w:pos="1080"/>
        </w:tabs>
        <w:rPr>
          <w:rFonts w:ascii="Avenir Book" w:hAnsi="Avenir Book"/>
          <w:sz w:val="21"/>
          <w:szCs w:val="21"/>
        </w:rPr>
      </w:pP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 xml:space="preserve">Having a designated individual or individuals responsible for disability access issues is an effective approach to managing access compliance. Logging and tracking all access complaints and the resolution of those complaints is also critical, both to identify access deficiencies and to identify individuals who may ultimately seek legal remedies for an access violation. </w:t>
      </w:r>
    </w:p>
    <w:p w:rsidR="00406A33" w:rsidRPr="00724CF8" w:rsidRDefault="00406A33" w:rsidP="00215983">
      <w:pPr>
        <w:tabs>
          <w:tab w:val="num" w:pos="1080"/>
        </w:tabs>
        <w:rPr>
          <w:rFonts w:ascii="Avenir Book" w:hAnsi="Avenir Book"/>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Certified Access Specialist (</w:t>
      </w:r>
      <w:proofErr w:type="spellStart"/>
      <w:r w:rsidRPr="00D960F9">
        <w:rPr>
          <w:rFonts w:ascii="Avenir Book" w:hAnsi="Avenir Book"/>
          <w:b/>
          <w:sz w:val="21"/>
          <w:szCs w:val="21"/>
        </w:rPr>
        <w:t>CASp</w:t>
      </w:r>
      <w:proofErr w:type="spellEnd"/>
      <w:r w:rsidRPr="00D960F9">
        <w:rPr>
          <w:rFonts w:ascii="Avenir Book" w:hAnsi="Avenir Book"/>
          <w:b/>
          <w:sz w:val="21"/>
          <w:szCs w:val="21"/>
        </w:rPr>
        <w:t>) Evaluations</w:t>
      </w: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The Certified Access Specialist (</w:t>
      </w:r>
      <w:proofErr w:type="spellStart"/>
      <w:r w:rsidRPr="00724CF8">
        <w:rPr>
          <w:rFonts w:ascii="Avenir Book" w:hAnsi="Avenir Book"/>
          <w:sz w:val="21"/>
          <w:szCs w:val="21"/>
        </w:rPr>
        <w:t>CASp</w:t>
      </w:r>
      <w:proofErr w:type="spellEnd"/>
      <w:r w:rsidRPr="00724CF8">
        <w:rPr>
          <w:rFonts w:ascii="Avenir Book" w:hAnsi="Avenir Book"/>
          <w:sz w:val="21"/>
          <w:szCs w:val="21"/>
        </w:rPr>
        <w:t xml:space="preserve">) program was created by Senate Bill 262 in 2003. The </w:t>
      </w:r>
      <w:proofErr w:type="spellStart"/>
      <w:r w:rsidRPr="00724CF8">
        <w:rPr>
          <w:rFonts w:ascii="Avenir Book" w:hAnsi="Avenir Book"/>
          <w:sz w:val="21"/>
          <w:szCs w:val="21"/>
        </w:rPr>
        <w:t>CASp</w:t>
      </w:r>
      <w:proofErr w:type="spellEnd"/>
      <w:r w:rsidRPr="00724CF8">
        <w:rPr>
          <w:rFonts w:ascii="Avenir Book" w:hAnsi="Avenir Book"/>
          <w:sz w:val="21"/>
          <w:szCs w:val="21"/>
        </w:rPr>
        <w:t xml:space="preserve"> program allows individuals to become certified to inspect buildings and sites for compliance with applicable state and federal construction-related accessibility standards. California’s Division of the State Architect provides a list of all </w:t>
      </w:r>
      <w:proofErr w:type="spellStart"/>
      <w:r w:rsidRPr="00724CF8">
        <w:rPr>
          <w:rFonts w:ascii="Avenir Book" w:hAnsi="Avenir Book"/>
          <w:sz w:val="21"/>
          <w:szCs w:val="21"/>
        </w:rPr>
        <w:t>CASp</w:t>
      </w:r>
      <w:proofErr w:type="spellEnd"/>
      <w:r w:rsidRPr="00724CF8">
        <w:rPr>
          <w:rFonts w:ascii="Avenir Book" w:hAnsi="Avenir Book"/>
          <w:sz w:val="21"/>
          <w:szCs w:val="21"/>
        </w:rPr>
        <w:t xml:space="preserve"> certified individuals on its</w:t>
      </w:r>
      <w:r w:rsidR="00235605">
        <w:rPr>
          <w:rFonts w:ascii="Avenir Book" w:hAnsi="Avenir Book"/>
          <w:sz w:val="21"/>
          <w:szCs w:val="21"/>
        </w:rPr>
        <w:t xml:space="preserve"> website, which is available at:</w:t>
      </w:r>
      <w:r w:rsidRPr="00724CF8">
        <w:rPr>
          <w:rFonts w:ascii="Avenir Book" w:hAnsi="Avenir Book"/>
          <w:sz w:val="21"/>
          <w:szCs w:val="21"/>
        </w:rPr>
        <w:t>https://www.apps2.dgs.ca.gov/dsa/casp/casp_certified_list.aspx.</w:t>
      </w:r>
    </w:p>
    <w:p w:rsidR="00406A33" w:rsidRPr="00724CF8" w:rsidRDefault="00406A33" w:rsidP="00215983">
      <w:pPr>
        <w:tabs>
          <w:tab w:val="num" w:pos="1080"/>
        </w:tabs>
        <w:rPr>
          <w:rFonts w:ascii="Avenir Book" w:hAnsi="Avenir Book"/>
          <w:sz w:val="21"/>
          <w:szCs w:val="21"/>
        </w:rPr>
      </w:pP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 xml:space="preserve">Other design professionals can also competently evaluate buildings and other facilities for access compliance, such as architects and engineers. However, having your facility evaluated by a </w:t>
      </w:r>
      <w:proofErr w:type="spellStart"/>
      <w:r w:rsidRPr="00724CF8">
        <w:rPr>
          <w:rFonts w:ascii="Avenir Book" w:hAnsi="Avenir Book"/>
          <w:sz w:val="21"/>
          <w:szCs w:val="21"/>
        </w:rPr>
        <w:t>CASp</w:t>
      </w:r>
      <w:proofErr w:type="spellEnd"/>
      <w:r w:rsidRPr="00724CF8">
        <w:rPr>
          <w:rFonts w:ascii="Avenir Book" w:hAnsi="Avenir Book"/>
          <w:sz w:val="21"/>
          <w:szCs w:val="21"/>
        </w:rPr>
        <w:t>-certified individual also provides the ability to invoke certain protections under California law that may be valuable in the event you are later sued for access violations.</w:t>
      </w:r>
    </w:p>
    <w:p w:rsidR="00406A33" w:rsidRPr="00724CF8" w:rsidRDefault="00406A33" w:rsidP="00215983">
      <w:pPr>
        <w:tabs>
          <w:tab w:val="num" w:pos="1080"/>
        </w:tabs>
        <w:rPr>
          <w:rFonts w:ascii="Avenir Book" w:hAnsi="Avenir Book"/>
          <w:sz w:val="21"/>
          <w:szCs w:val="21"/>
        </w:rPr>
      </w:pPr>
      <w:r w:rsidRPr="00724CF8">
        <w:rPr>
          <w:rFonts w:ascii="Avenir Book" w:hAnsi="Avenir Book"/>
          <w:sz w:val="21"/>
          <w:szCs w:val="21"/>
        </w:rPr>
        <w:t xml:space="preserve"> </w:t>
      </w:r>
    </w:p>
    <w:p w:rsidR="00215983" w:rsidRDefault="00406A33" w:rsidP="00215983">
      <w:pPr>
        <w:tabs>
          <w:tab w:val="num" w:pos="1080"/>
        </w:tabs>
        <w:rPr>
          <w:rFonts w:ascii="Avenir Book" w:hAnsi="Avenir Book"/>
          <w:sz w:val="21"/>
          <w:szCs w:val="21"/>
        </w:rPr>
      </w:pPr>
      <w:r w:rsidRPr="00724CF8">
        <w:rPr>
          <w:rFonts w:ascii="Avenir Book" w:hAnsi="Avenir Book"/>
          <w:sz w:val="21"/>
          <w:szCs w:val="21"/>
        </w:rPr>
        <w:t xml:space="preserve">California Senate Bill 1608, passed in 2008, created the Construction-Related Accessibility Standards Compliance Act (CRASCA, Civil Code §§ 55.51-55.545). CRASCA provides, in relevant part, that if a business or property owner authorizes the inspection of a facility by a </w:t>
      </w:r>
      <w:proofErr w:type="spellStart"/>
      <w:r w:rsidRPr="00724CF8">
        <w:rPr>
          <w:rFonts w:ascii="Avenir Book" w:hAnsi="Avenir Book"/>
          <w:sz w:val="21"/>
          <w:szCs w:val="21"/>
        </w:rPr>
        <w:t>CASp</w:t>
      </w:r>
      <w:proofErr w:type="spellEnd"/>
      <w:r w:rsidRPr="00724CF8">
        <w:rPr>
          <w:rFonts w:ascii="Avenir Book" w:hAnsi="Avenir Book"/>
          <w:sz w:val="21"/>
          <w:szCs w:val="21"/>
        </w:rPr>
        <w:t xml:space="preserve">, receives a </w:t>
      </w:r>
      <w:proofErr w:type="spellStart"/>
      <w:r w:rsidRPr="00724CF8">
        <w:rPr>
          <w:rFonts w:ascii="Avenir Book" w:hAnsi="Avenir Book"/>
          <w:sz w:val="21"/>
          <w:szCs w:val="21"/>
        </w:rPr>
        <w:t>CASp</w:t>
      </w:r>
      <w:proofErr w:type="spellEnd"/>
      <w:r w:rsidRPr="00724CF8">
        <w:rPr>
          <w:rFonts w:ascii="Avenir Book" w:hAnsi="Avenir Book"/>
          <w:sz w:val="21"/>
          <w:szCs w:val="21"/>
        </w:rPr>
        <w:t xml:space="preserve"> inspection report prior to being served a lawsuit for violation of a construction-related accessibility standard, and makes accessibility improvements to come into compliance according to the schedule provided with the </w:t>
      </w:r>
      <w:proofErr w:type="spellStart"/>
      <w:r w:rsidRPr="00724CF8">
        <w:rPr>
          <w:rFonts w:ascii="Avenir Book" w:hAnsi="Avenir Book"/>
          <w:sz w:val="21"/>
          <w:szCs w:val="21"/>
        </w:rPr>
        <w:t>CASp</w:t>
      </w:r>
      <w:proofErr w:type="spellEnd"/>
      <w:r w:rsidRPr="00724CF8">
        <w:rPr>
          <w:rFonts w:ascii="Avenir Book" w:hAnsi="Avenir Book"/>
          <w:sz w:val="21"/>
          <w:szCs w:val="21"/>
        </w:rPr>
        <w:t xml:space="preserve"> inspection report, the business or property owner receives “qualified defendant” status. (Cal. Civ. Code § 55.52 (a)(8).) Upon being served with a summons and complaint asserting a construction-related accessibility</w:t>
      </w:r>
      <w:r w:rsidR="00235605">
        <w:rPr>
          <w:rFonts w:ascii="Avenir Book" w:hAnsi="Avenir Book"/>
          <w:sz w:val="21"/>
          <w:szCs w:val="21"/>
        </w:rPr>
        <w:t xml:space="preserve"> </w:t>
      </w:r>
      <w:r w:rsidRPr="00724CF8">
        <w:rPr>
          <w:rFonts w:ascii="Avenir Book" w:hAnsi="Avenir Book"/>
          <w:sz w:val="21"/>
          <w:szCs w:val="21"/>
        </w:rPr>
        <w:t>claim, including claims brought under the Unruh Act and CDPA, a qualified defendant may file a request for a court stay and early evaluation conference, tolling the deadline to respond to the complaint, and potentially providing the opportunity to resolve the litigation before significant costs are incurred. (Cal. Civ. Code 55.54 (b)(1).) Civil Code section 55.54 also provides a potential reduction in the statutory damages amount for identified violations. (Id.)</w:t>
      </w:r>
    </w:p>
    <w:p w:rsidR="00215983" w:rsidRPr="00724CF8" w:rsidRDefault="00215983" w:rsidP="00215983">
      <w:pPr>
        <w:tabs>
          <w:tab w:val="num" w:pos="1080"/>
        </w:tabs>
        <w:rPr>
          <w:rFonts w:ascii="Avenir Book" w:hAnsi="Avenir Book"/>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What Should You Do if You Have Been Served With a Complaint?</w:t>
      </w:r>
    </w:p>
    <w:p w:rsidR="00406A33" w:rsidRPr="00724CF8" w:rsidRDefault="00406A33">
      <w:pPr>
        <w:rPr>
          <w:rFonts w:ascii="Avenir Book" w:hAnsi="Avenir Book"/>
          <w:sz w:val="21"/>
          <w:szCs w:val="21"/>
        </w:rPr>
      </w:pPr>
      <w:r w:rsidRPr="00724CF8">
        <w:rPr>
          <w:rFonts w:ascii="Avenir Book" w:hAnsi="Avenir Book"/>
          <w:sz w:val="21"/>
          <w:szCs w:val="21"/>
        </w:rPr>
        <w:t xml:space="preserve">Since attorneys for successful ADA plaintiffs may recover their attorney’s fees, and due to the highly technical nature of access requirements (which makes them easy to violate, even when a public accommodation has tried to comply), public accommodations are often in a difficult situation when it comes to litigating lawsuits alleging access violations. The damages associated with access violations are relatively low, but the risk of paying a plaintiff’s attorney’s fees – and the potential size of that attorney fee award – is significant. Moreover, while recent changes in California law like CRASCA have offered additional protections to public accommodations defending against access lawsuits, in some cases these protections must be invoked very quickly, or they cannot be invoked by all public accommodations.  (Cal. Civ. Code § 55.54.) </w:t>
      </w:r>
    </w:p>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Accordingly, if you are served with a civil complaint, the first step should be to determine whether you have liability and the potential scope of that liability, whether with the assistance of counsel or on your own. Making this determination early – which is often easy to do, particularly in cases of architectural violations – will help you to make an appropriate business decision regarding how, or even whether, to proceed with litigation.  Of course, you will also want to move quickly in order to determine whether you can take advantage of any of the protections provided by California law.</w:t>
      </w:r>
    </w:p>
    <w:p w:rsidR="00406A33" w:rsidRPr="00724CF8" w:rsidRDefault="00406A33">
      <w:pPr>
        <w:rPr>
          <w:rFonts w:ascii="Avenir Book" w:hAnsi="Avenir Book"/>
          <w:sz w:val="21"/>
          <w:szCs w:val="21"/>
        </w:rPr>
      </w:pPr>
    </w:p>
    <w:p w:rsidR="00406A33" w:rsidRPr="00724CF8" w:rsidRDefault="00406A33">
      <w:pPr>
        <w:rPr>
          <w:rFonts w:ascii="Avenir Book" w:hAnsi="Avenir Book"/>
          <w:sz w:val="21"/>
          <w:szCs w:val="21"/>
        </w:rPr>
      </w:pPr>
      <w:r w:rsidRPr="00724CF8">
        <w:rPr>
          <w:rFonts w:ascii="Avenir Book" w:hAnsi="Avenir Book"/>
          <w:sz w:val="21"/>
          <w:szCs w:val="21"/>
        </w:rPr>
        <w:t>In the case of agency-related complaints (whether originating with the DOJ or the DFEH), the best approach is to contact counsel first, who can advise you with respect to the various steps associated with defending against and resolving such complaints in an administrative process.</w:t>
      </w:r>
    </w:p>
    <w:p w:rsidR="00406A33" w:rsidRPr="00724CF8" w:rsidRDefault="00406A33">
      <w:pPr>
        <w:rPr>
          <w:rFonts w:ascii="Avenir Book" w:hAnsi="Avenir Book"/>
          <w:sz w:val="21"/>
          <w:szCs w:val="21"/>
        </w:rPr>
      </w:pPr>
    </w:p>
    <w:p w:rsidR="00406A33" w:rsidRPr="00D960F9" w:rsidRDefault="00406A33" w:rsidP="00215983">
      <w:pPr>
        <w:pStyle w:val="OutlineL2"/>
        <w:tabs>
          <w:tab w:val="clear" w:pos="1440"/>
          <w:tab w:val="num" w:pos="1080"/>
        </w:tabs>
        <w:rPr>
          <w:rFonts w:ascii="Avenir Book" w:hAnsi="Avenir Book"/>
          <w:b/>
          <w:sz w:val="21"/>
          <w:szCs w:val="21"/>
        </w:rPr>
      </w:pPr>
      <w:r w:rsidRPr="00D960F9">
        <w:rPr>
          <w:rFonts w:ascii="Avenir Book" w:hAnsi="Avenir Book"/>
          <w:b/>
          <w:sz w:val="21"/>
          <w:szCs w:val="21"/>
        </w:rPr>
        <w:t>What Should You Do Even if You Have Not Been Served With a Complaint?</w:t>
      </w:r>
    </w:p>
    <w:p w:rsidR="00406A33" w:rsidRPr="00724CF8" w:rsidRDefault="00406A33">
      <w:pPr>
        <w:rPr>
          <w:rFonts w:ascii="Avenir Book" w:hAnsi="Avenir Book"/>
          <w:sz w:val="21"/>
          <w:szCs w:val="21"/>
        </w:rPr>
      </w:pPr>
      <w:r w:rsidRPr="00724CF8">
        <w:rPr>
          <w:rFonts w:ascii="Avenir Book" w:hAnsi="Avenir Book"/>
          <w:sz w:val="21"/>
          <w:szCs w:val="21"/>
        </w:rPr>
        <w:t>The obligation of a public accommodation to provide access to persons with disabilities is continuing and ongoing. You must therefore always consider disability access issues when changing or designing features in your facilities, or when deciding to add or alter the services provided within them.</w:t>
      </w:r>
    </w:p>
    <w:p w:rsidR="004D7E9A" w:rsidRPr="00724CF8" w:rsidRDefault="004D7E9A" w:rsidP="0082621D">
      <w:pPr>
        <w:spacing w:after="200" w:line="276" w:lineRule="auto"/>
        <w:rPr>
          <w:rFonts w:ascii="Avenir Book" w:hAnsi="Avenir Book"/>
          <w:sz w:val="21"/>
          <w:szCs w:val="21"/>
        </w:rPr>
      </w:pPr>
    </w:p>
    <w:sectPr w:rsidR="004D7E9A" w:rsidRPr="00724CF8" w:rsidSect="0031561E">
      <w:footerReference w:type="default" r:id="rId23"/>
      <w:pgSz w:w="12240" w:h="15840"/>
      <w:pgMar w:top="1440" w:right="1440" w:bottom="1440" w:left="21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178" w:rsidRDefault="001B3178" w:rsidP="006647DA">
      <w:r>
        <w:separator/>
      </w:r>
    </w:p>
  </w:endnote>
  <w:endnote w:type="continuationSeparator" w:id="0">
    <w:p w:rsidR="001B3178" w:rsidRDefault="001B3178" w:rsidP="006647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1053AFF" w:usb1="0000008D" w:usb2="00000000" w:usb3="00000000" w:csb0="006609FF" w:csb1="00BD5CC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341288"/>
      <w:docPartObj>
        <w:docPartGallery w:val="Page Numbers (Bottom of Page)"/>
        <w:docPartUnique/>
      </w:docPartObj>
    </w:sdtPr>
    <w:sdtEndPr>
      <w:rPr>
        <w:rFonts w:ascii="Avenir Book" w:hAnsi="Avenir Book"/>
        <w:noProof/>
      </w:rPr>
    </w:sdtEndPr>
    <w:sdtContent>
      <w:p w:rsidR="001B3178" w:rsidRPr="00196620" w:rsidRDefault="001B3178">
        <w:pPr>
          <w:pStyle w:val="Footer"/>
          <w:jc w:val="center"/>
          <w:rPr>
            <w:rFonts w:ascii="Avenir Book" w:hAnsi="Avenir Book"/>
          </w:rPr>
        </w:pPr>
        <w:r w:rsidRPr="00196620">
          <w:rPr>
            <w:rFonts w:ascii="Avenir Book" w:hAnsi="Avenir Book"/>
          </w:rPr>
          <w:fldChar w:fldCharType="begin"/>
        </w:r>
        <w:r w:rsidRPr="00196620">
          <w:rPr>
            <w:rFonts w:ascii="Avenir Book" w:hAnsi="Avenir Book"/>
          </w:rPr>
          <w:instrText xml:space="preserve"> PAGE   \* MERGEFORMAT </w:instrText>
        </w:r>
        <w:r w:rsidRPr="00196620">
          <w:rPr>
            <w:rFonts w:ascii="Avenir Book" w:hAnsi="Avenir Book"/>
          </w:rPr>
          <w:fldChar w:fldCharType="separate"/>
        </w:r>
        <w:r w:rsidR="005907BB">
          <w:rPr>
            <w:rFonts w:ascii="Avenir Book" w:hAnsi="Avenir Book"/>
            <w:noProof/>
          </w:rPr>
          <w:t>2</w:t>
        </w:r>
        <w:r w:rsidRPr="00196620">
          <w:rPr>
            <w:rFonts w:ascii="Avenir Book" w:hAnsi="Avenir Book"/>
            <w:noProof/>
          </w:rPr>
          <w:fldChar w:fldCharType="end"/>
        </w:r>
      </w:p>
    </w:sdtContent>
  </w:sdt>
  <w:p w:rsidR="001B3178" w:rsidRDefault="001B31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178" w:rsidRDefault="001B3178" w:rsidP="006647DA">
      <w:r>
        <w:separator/>
      </w:r>
    </w:p>
  </w:footnote>
  <w:footnote w:type="continuationSeparator" w:id="0">
    <w:p w:rsidR="001B3178" w:rsidRDefault="001B3178" w:rsidP="006647DA">
      <w:r>
        <w:continuationSeparator/>
      </w:r>
    </w:p>
  </w:footnote>
  <w:footnote w:id="1">
    <w:p w:rsidR="001B3178" w:rsidRPr="00C44413" w:rsidRDefault="001B3178" w:rsidP="00212C52">
      <w:pPr>
        <w:pStyle w:val="FootnoteText"/>
        <w:rPr>
          <w:rFonts w:ascii="Avenir Book" w:hAnsi="Avenir Book"/>
          <w:sz w:val="18"/>
          <w:szCs w:val="18"/>
        </w:rPr>
      </w:pPr>
      <w:r w:rsidRPr="00C44413">
        <w:rPr>
          <w:rStyle w:val="FootnoteReference"/>
          <w:rFonts w:ascii="Avenir Book" w:hAnsi="Avenir Book"/>
          <w:sz w:val="18"/>
          <w:szCs w:val="18"/>
        </w:rPr>
        <w:footnoteRef/>
      </w:r>
      <w:r w:rsidRPr="00C44413">
        <w:rPr>
          <w:rFonts w:ascii="Avenir Book" w:hAnsi="Avenir Book"/>
          <w:sz w:val="18"/>
          <w:szCs w:val="18"/>
        </w:rPr>
        <w:t xml:space="preserve"> Please note that in an effort to address only those laws with likely relevance to the reader’s operations, nondiscrimination statutes triggered by a private entity’s receipt of federal funding (The Rehabilitation Act of 1973, 29 U.S.C. § 794, et seq.), or triggered by the receipt of state funding or use of state funds for construction (California Government Code §§ 4450 and 11135), are not addressed within this Toolkit.</w:t>
      </w:r>
    </w:p>
  </w:footnote>
  <w:footnote w:id="2">
    <w:p w:rsidR="001B3178" w:rsidRPr="00C44413" w:rsidRDefault="001B3178" w:rsidP="009473F9">
      <w:pPr>
        <w:pStyle w:val="FootnoteText"/>
        <w:rPr>
          <w:rFonts w:ascii="Avenir Book" w:hAnsi="Avenir Book"/>
          <w:sz w:val="18"/>
          <w:szCs w:val="18"/>
        </w:rPr>
      </w:pPr>
      <w:r w:rsidRPr="00C44413">
        <w:rPr>
          <w:rStyle w:val="FootnoteReference"/>
          <w:rFonts w:ascii="Avenir Book" w:hAnsi="Avenir Book"/>
          <w:sz w:val="18"/>
          <w:szCs w:val="18"/>
        </w:rPr>
        <w:footnoteRef/>
      </w:r>
      <w:r w:rsidRPr="00C44413">
        <w:rPr>
          <w:rFonts w:ascii="Avenir Book" w:hAnsi="Avenir Book"/>
          <w:sz w:val="18"/>
          <w:szCs w:val="18"/>
        </w:rPr>
        <w:t xml:space="preserve"> Communication barriers that are structural in nature are barriers that are an integral part of the physical structure of a facility, such as conventional signage, which generally is inaccessible to people who have vision impairments, and audible alarm systems, which are inaccessible to people with hearing impairments.  (Title III Technical Assistance Manual at III-4.4100, available at http://www.ada.gov/taman3.html.)  The obligation to remove structural communication barriers is distinct from the obligation to provide auxiliary aids and services, such as assistive listening devices. </w:t>
      </w:r>
    </w:p>
  </w:footnote>
  <w:footnote w:id="3">
    <w:p w:rsidR="001B3178" w:rsidRPr="00C44413" w:rsidRDefault="001B3178">
      <w:pPr>
        <w:pStyle w:val="FootnoteText"/>
        <w:rPr>
          <w:rFonts w:ascii="Avenir Book" w:hAnsi="Avenir Book"/>
          <w:sz w:val="18"/>
          <w:szCs w:val="18"/>
        </w:rPr>
      </w:pPr>
      <w:r w:rsidRPr="00C44413">
        <w:rPr>
          <w:rStyle w:val="FootnoteReference"/>
          <w:rFonts w:ascii="Avenir Book" w:hAnsi="Avenir Book"/>
          <w:sz w:val="18"/>
          <w:szCs w:val="18"/>
        </w:rPr>
        <w:footnoteRef/>
      </w:r>
      <w:r w:rsidRPr="00C44413">
        <w:rPr>
          <w:rFonts w:ascii="Avenir Book" w:hAnsi="Avenir Book"/>
          <w:sz w:val="18"/>
          <w:szCs w:val="18"/>
        </w:rPr>
        <w:t xml:space="preserve"> “Elements that have not been altered in existing facilities on or after March 15, 2012, and that comply with the corresponding technical and scoping specifications for those elements in the 1991 Standards are not required to be modified in order to comply with the requirements set forth in the 2010 Standards.” (28 C.F.R. § 36.304(d)(2)(i).)</w:t>
      </w:r>
    </w:p>
  </w:footnote>
  <w:footnote w:id="4">
    <w:p w:rsidR="001B3178" w:rsidRPr="00C44413" w:rsidRDefault="001B3178" w:rsidP="00B10F8F">
      <w:pPr>
        <w:shd w:val="clear" w:color="auto" w:fill="FFFFFF"/>
        <w:spacing w:before="150" w:after="120"/>
        <w:ind w:right="480"/>
        <w:rPr>
          <w:rFonts w:ascii="Avenir Book" w:hAnsi="Avenir Book"/>
          <w:color w:val="000000"/>
          <w:sz w:val="18"/>
          <w:szCs w:val="18"/>
        </w:rPr>
      </w:pPr>
      <w:r w:rsidRPr="00C44413">
        <w:rPr>
          <w:rStyle w:val="FootnoteReference"/>
          <w:rFonts w:ascii="Avenir Book" w:hAnsi="Avenir Book"/>
          <w:sz w:val="18"/>
          <w:szCs w:val="18"/>
        </w:rPr>
        <w:footnoteRef/>
      </w:r>
      <w:r w:rsidRPr="00C44413">
        <w:rPr>
          <w:rFonts w:ascii="Avenir Book" w:hAnsi="Avenir Book"/>
          <w:sz w:val="18"/>
          <w:szCs w:val="18"/>
        </w:rPr>
        <w:t xml:space="preserve"> 28 C.F.R. </w:t>
      </w:r>
      <w:r w:rsidRPr="00C44413">
        <w:rPr>
          <w:rFonts w:ascii="Avenir Book" w:hAnsi="Avenir Book"/>
          <w:color w:val="000000"/>
          <w:sz w:val="18"/>
          <w:szCs w:val="18"/>
        </w:rPr>
        <w:t>§ 36.301(b) provides that a</w:t>
      </w:r>
      <w:r w:rsidRPr="00C44413">
        <w:rPr>
          <w:rFonts w:ascii="Avenir Book" w:hAnsi="Avenir Book"/>
          <w:color w:val="000000"/>
          <w:sz w:val="18"/>
          <w:szCs w:val="18"/>
          <w:shd w:val="clear" w:color="auto" w:fill="FFFFFF"/>
        </w:rPr>
        <w:t xml:space="preserve"> “public accommodation may impose legitimate safety requirements that are necessary for safe operation. Safety requirements must be based on actual risks and not on mere speculation, stereotypes, or generalizations about individuals with disabilities.”</w:t>
      </w:r>
    </w:p>
    <w:p w:rsidR="001B3178" w:rsidRDefault="001B3178" w:rsidP="00B10F8F">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D429654"/>
    <w:lvl w:ilvl="0">
      <w:start w:val="1"/>
      <w:numFmt w:val="decimal"/>
      <w:lvlText w:val="%1."/>
      <w:lvlJc w:val="left"/>
      <w:pPr>
        <w:tabs>
          <w:tab w:val="num" w:pos="1800"/>
        </w:tabs>
        <w:ind w:left="1800" w:hanging="360"/>
      </w:pPr>
    </w:lvl>
  </w:abstractNum>
  <w:abstractNum w:abstractNumId="1">
    <w:nsid w:val="FFFFFF7D"/>
    <w:multiLevelType w:val="singleLevel"/>
    <w:tmpl w:val="92D69CAE"/>
    <w:lvl w:ilvl="0">
      <w:start w:val="1"/>
      <w:numFmt w:val="decimal"/>
      <w:lvlText w:val="%1."/>
      <w:lvlJc w:val="left"/>
      <w:pPr>
        <w:tabs>
          <w:tab w:val="num" w:pos="1440"/>
        </w:tabs>
        <w:ind w:left="1440" w:hanging="360"/>
      </w:pPr>
    </w:lvl>
  </w:abstractNum>
  <w:abstractNum w:abstractNumId="2">
    <w:nsid w:val="FFFFFF7E"/>
    <w:multiLevelType w:val="singleLevel"/>
    <w:tmpl w:val="EC88A4F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B084C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FB4B4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ED4ED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A7299E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930B60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BF6A0B4"/>
    <w:lvl w:ilvl="0">
      <w:start w:val="1"/>
      <w:numFmt w:val="decimal"/>
      <w:pStyle w:val="ListNumber"/>
      <w:lvlText w:val="%1."/>
      <w:lvlJc w:val="left"/>
      <w:pPr>
        <w:tabs>
          <w:tab w:val="num" w:pos="360"/>
        </w:tabs>
        <w:ind w:left="360" w:hanging="360"/>
      </w:pPr>
    </w:lvl>
  </w:abstractNum>
  <w:abstractNum w:abstractNumId="9">
    <w:nsid w:val="FFFFFF89"/>
    <w:multiLevelType w:val="singleLevel"/>
    <w:tmpl w:val="94C4ADC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697A6D"/>
    <w:multiLevelType w:val="hybridMultilevel"/>
    <w:tmpl w:val="E6505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B4178C8"/>
    <w:multiLevelType w:val="hybridMultilevel"/>
    <w:tmpl w:val="C480E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077D7B"/>
    <w:multiLevelType w:val="multilevel"/>
    <w:tmpl w:val="5EF2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CA6143"/>
    <w:multiLevelType w:val="hybridMultilevel"/>
    <w:tmpl w:val="1E2CCDB6"/>
    <w:lvl w:ilvl="0" w:tplc="E0C6B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F206DD"/>
    <w:multiLevelType w:val="multilevel"/>
    <w:tmpl w:val="52BEA738"/>
    <w:lvl w:ilvl="0">
      <w:start w:val="1"/>
      <w:numFmt w:val="bullet"/>
      <w:lvlText w:val=""/>
      <w:lvlJc w:val="left"/>
      <w:pPr>
        <w:tabs>
          <w:tab w:val="num" w:pos="720"/>
        </w:tabs>
        <w:ind w:left="720" w:hanging="720"/>
      </w:pPr>
      <w:rPr>
        <w:rFonts w:ascii="Symbol" w:hAnsi="Symbol"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0B4093A"/>
    <w:multiLevelType w:val="hybridMultilevel"/>
    <w:tmpl w:val="5612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12988"/>
    <w:multiLevelType w:val="hybridMultilevel"/>
    <w:tmpl w:val="EEE2F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7090BDC"/>
    <w:multiLevelType w:val="hybridMultilevel"/>
    <w:tmpl w:val="4D121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DB46F06"/>
    <w:multiLevelType w:val="multilevel"/>
    <w:tmpl w:val="E6223CAA"/>
    <w:name w:val="zzmpOutline||Outline|2|3|1|1|4|9||1|4|1||1|4|1||1|4|1||1|4|0||1|4|0||1|4|0||1|4|0||1|4|0||"/>
    <w:lvl w:ilvl="0">
      <w:start w:val="1"/>
      <w:numFmt w:val="upperRoman"/>
      <w:pStyle w:val="OutlineL1"/>
      <w:lvlText w:val="%1."/>
      <w:lvlJc w:val="left"/>
      <w:pPr>
        <w:tabs>
          <w:tab w:val="num" w:pos="720"/>
        </w:tabs>
        <w:ind w:left="0" w:firstLine="0"/>
      </w:pPr>
      <w:rPr>
        <w:b/>
        <w:i w:val="0"/>
        <w:caps/>
        <w:smallCaps w:val="0"/>
        <w:u w:val="none"/>
      </w:rPr>
    </w:lvl>
    <w:lvl w:ilvl="1">
      <w:start w:val="1"/>
      <w:numFmt w:val="upperLetter"/>
      <w:pStyle w:val="OutlineL2"/>
      <w:lvlText w:val="%2."/>
      <w:lvlJc w:val="left"/>
      <w:pPr>
        <w:tabs>
          <w:tab w:val="num" w:pos="1440"/>
        </w:tabs>
        <w:ind w:left="0" w:firstLine="720"/>
      </w:pPr>
      <w:rPr>
        <w:b/>
        <w:i w:val="0"/>
        <w:caps w:val="0"/>
        <w:u w:val="none"/>
      </w:rPr>
    </w:lvl>
    <w:lvl w:ilvl="2">
      <w:start w:val="1"/>
      <w:numFmt w:val="decimal"/>
      <w:pStyle w:val="OutlineL3"/>
      <w:lvlText w:val="%3."/>
      <w:lvlJc w:val="left"/>
      <w:pPr>
        <w:tabs>
          <w:tab w:val="num" w:pos="2160"/>
        </w:tabs>
        <w:ind w:left="0" w:firstLine="1440"/>
      </w:pPr>
      <w:rPr>
        <w:b w:val="0"/>
        <w:i w:val="0"/>
        <w:caps w:val="0"/>
        <w:u w:val="none"/>
      </w:rPr>
    </w:lvl>
    <w:lvl w:ilvl="3">
      <w:start w:val="1"/>
      <w:numFmt w:val="lowerLetter"/>
      <w:pStyle w:val="OutlineL4"/>
      <w:lvlText w:val="%4."/>
      <w:lvlJc w:val="left"/>
      <w:pPr>
        <w:tabs>
          <w:tab w:val="num" w:pos="2880"/>
        </w:tabs>
        <w:ind w:left="0" w:firstLine="2160"/>
      </w:pPr>
      <w:rPr>
        <w:b w:val="0"/>
        <w:i w:val="0"/>
        <w:caps w:val="0"/>
        <w:u w:val="none"/>
      </w:rPr>
    </w:lvl>
    <w:lvl w:ilvl="4">
      <w:start w:val="1"/>
      <w:numFmt w:val="lowerRoman"/>
      <w:pStyle w:val="OutlineL5"/>
      <w:lvlText w:val="(%5)"/>
      <w:lvlJc w:val="left"/>
      <w:pPr>
        <w:tabs>
          <w:tab w:val="num" w:pos="3600"/>
        </w:tabs>
        <w:ind w:left="0" w:firstLine="2880"/>
      </w:pPr>
      <w:rPr>
        <w:b w:val="0"/>
        <w:i w:val="0"/>
        <w:caps w:val="0"/>
        <w:u w:val="none"/>
      </w:rPr>
    </w:lvl>
    <w:lvl w:ilvl="5">
      <w:start w:val="1"/>
      <w:numFmt w:val="lowerLetter"/>
      <w:pStyle w:val="OutlineL6"/>
      <w:lvlText w:val="(%6)"/>
      <w:lvlJc w:val="left"/>
      <w:pPr>
        <w:tabs>
          <w:tab w:val="num" w:pos="4320"/>
        </w:tabs>
        <w:ind w:left="0" w:firstLine="3600"/>
      </w:pPr>
      <w:rPr>
        <w:b w:val="0"/>
        <w:i w:val="0"/>
        <w:caps w:val="0"/>
        <w:u w:val="none"/>
      </w:rPr>
    </w:lvl>
    <w:lvl w:ilvl="6">
      <w:start w:val="1"/>
      <w:numFmt w:val="decimal"/>
      <w:pStyle w:val="OutlineL7"/>
      <w:lvlText w:val="(%7)"/>
      <w:lvlJc w:val="left"/>
      <w:pPr>
        <w:tabs>
          <w:tab w:val="num" w:pos="5040"/>
        </w:tabs>
        <w:ind w:left="0" w:firstLine="4320"/>
      </w:pPr>
      <w:rPr>
        <w:b w:val="0"/>
        <w:i w:val="0"/>
        <w:caps w:val="0"/>
        <w:u w:val="none"/>
      </w:rPr>
    </w:lvl>
    <w:lvl w:ilvl="7">
      <w:start w:val="1"/>
      <w:numFmt w:val="lowerRoman"/>
      <w:pStyle w:val="OutlineL8"/>
      <w:lvlText w:val="%8)"/>
      <w:lvlJc w:val="left"/>
      <w:pPr>
        <w:tabs>
          <w:tab w:val="num" w:pos="5760"/>
        </w:tabs>
        <w:ind w:left="0" w:firstLine="5040"/>
      </w:pPr>
      <w:rPr>
        <w:b w:val="0"/>
        <w:i w:val="0"/>
        <w:caps w:val="0"/>
        <w:u w:val="none"/>
      </w:rPr>
    </w:lvl>
    <w:lvl w:ilvl="8">
      <w:start w:val="1"/>
      <w:numFmt w:val="lowerLetter"/>
      <w:pStyle w:val="OutlineL9"/>
      <w:lvlText w:val="%9)"/>
      <w:lvlJc w:val="left"/>
      <w:pPr>
        <w:tabs>
          <w:tab w:val="num" w:pos="6480"/>
        </w:tabs>
        <w:ind w:left="0" w:firstLine="5760"/>
      </w:pPr>
      <w:rPr>
        <w:b w:val="0"/>
        <w:i w:val="0"/>
        <w:caps w:val="0"/>
        <w:u w:val="none"/>
      </w:rPr>
    </w:lvl>
  </w:abstractNum>
  <w:abstractNum w:abstractNumId="19">
    <w:nsid w:val="73694BDF"/>
    <w:multiLevelType w:val="hybridMultilevel"/>
    <w:tmpl w:val="E3F6EC9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B0F3AC3"/>
    <w:multiLevelType w:val="hybridMultilevel"/>
    <w:tmpl w:val="F5788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9"/>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6"/>
  </w:num>
  <w:num w:numId="25">
    <w:abstractNumId w:val="10"/>
  </w:num>
  <w:num w:numId="26">
    <w:abstractNumId w:val="15"/>
  </w:num>
  <w:num w:numId="27">
    <w:abstractNumId w:val="20"/>
  </w:num>
  <w:num w:numId="28">
    <w:abstractNumId w:val="13"/>
  </w:num>
  <w:num w:numId="29">
    <w:abstractNumId w:val="17"/>
  </w:num>
  <w:num w:numId="30">
    <w:abstractNumId w:val="12"/>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E007E"/>
    <w:rsid w:val="00022A0E"/>
    <w:rsid w:val="000273E1"/>
    <w:rsid w:val="000360A7"/>
    <w:rsid w:val="00053BF3"/>
    <w:rsid w:val="00054F87"/>
    <w:rsid w:val="0005685A"/>
    <w:rsid w:val="00067ABE"/>
    <w:rsid w:val="00080164"/>
    <w:rsid w:val="00080A6B"/>
    <w:rsid w:val="00082340"/>
    <w:rsid w:val="00093CB0"/>
    <w:rsid w:val="000A3512"/>
    <w:rsid w:val="000A71AB"/>
    <w:rsid w:val="000B7616"/>
    <w:rsid w:val="000C16F5"/>
    <w:rsid w:val="000C314A"/>
    <w:rsid w:val="000C3A91"/>
    <w:rsid w:val="000C45F2"/>
    <w:rsid w:val="000C7D01"/>
    <w:rsid w:val="000D5A5C"/>
    <w:rsid w:val="00111F35"/>
    <w:rsid w:val="0011719C"/>
    <w:rsid w:val="00120E83"/>
    <w:rsid w:val="00130D1A"/>
    <w:rsid w:val="00131EA5"/>
    <w:rsid w:val="001453B3"/>
    <w:rsid w:val="0015237F"/>
    <w:rsid w:val="00157813"/>
    <w:rsid w:val="00167C38"/>
    <w:rsid w:val="0018490A"/>
    <w:rsid w:val="00187F7E"/>
    <w:rsid w:val="00196620"/>
    <w:rsid w:val="001A6644"/>
    <w:rsid w:val="001B0F71"/>
    <w:rsid w:val="001B3178"/>
    <w:rsid w:val="001B3E94"/>
    <w:rsid w:val="001C2AB3"/>
    <w:rsid w:val="001C7267"/>
    <w:rsid w:val="001D56E4"/>
    <w:rsid w:val="001F0E01"/>
    <w:rsid w:val="00210369"/>
    <w:rsid w:val="00212C52"/>
    <w:rsid w:val="00215983"/>
    <w:rsid w:val="00222D4C"/>
    <w:rsid w:val="002344CB"/>
    <w:rsid w:val="00235605"/>
    <w:rsid w:val="00246FDE"/>
    <w:rsid w:val="00285D39"/>
    <w:rsid w:val="00296FBD"/>
    <w:rsid w:val="002B21BA"/>
    <w:rsid w:val="002B4A40"/>
    <w:rsid w:val="002B4C74"/>
    <w:rsid w:val="002B6525"/>
    <w:rsid w:val="002C25E3"/>
    <w:rsid w:val="002D294E"/>
    <w:rsid w:val="002E387B"/>
    <w:rsid w:val="002E6101"/>
    <w:rsid w:val="002F5742"/>
    <w:rsid w:val="00302BCE"/>
    <w:rsid w:val="00313B58"/>
    <w:rsid w:val="0031561E"/>
    <w:rsid w:val="00335F2B"/>
    <w:rsid w:val="0035435D"/>
    <w:rsid w:val="0036281A"/>
    <w:rsid w:val="00393781"/>
    <w:rsid w:val="00396FC6"/>
    <w:rsid w:val="003B5D64"/>
    <w:rsid w:val="003B60E9"/>
    <w:rsid w:val="003B7303"/>
    <w:rsid w:val="003C157C"/>
    <w:rsid w:val="003C6531"/>
    <w:rsid w:val="003E3B9F"/>
    <w:rsid w:val="00406A33"/>
    <w:rsid w:val="00406C36"/>
    <w:rsid w:val="00435C8A"/>
    <w:rsid w:val="0043666B"/>
    <w:rsid w:val="00455339"/>
    <w:rsid w:val="00461FAD"/>
    <w:rsid w:val="00464DB0"/>
    <w:rsid w:val="0047078E"/>
    <w:rsid w:val="00482264"/>
    <w:rsid w:val="004A7C8A"/>
    <w:rsid w:val="004C7FBA"/>
    <w:rsid w:val="004D2643"/>
    <w:rsid w:val="004D7E9A"/>
    <w:rsid w:val="004E0910"/>
    <w:rsid w:val="004E10DF"/>
    <w:rsid w:val="004E287E"/>
    <w:rsid w:val="004E6AD7"/>
    <w:rsid w:val="004E6FE9"/>
    <w:rsid w:val="004F419A"/>
    <w:rsid w:val="004F7E65"/>
    <w:rsid w:val="00500D93"/>
    <w:rsid w:val="0050421E"/>
    <w:rsid w:val="00522FFB"/>
    <w:rsid w:val="005817FC"/>
    <w:rsid w:val="00586CC7"/>
    <w:rsid w:val="005907BB"/>
    <w:rsid w:val="00592CDA"/>
    <w:rsid w:val="005B748B"/>
    <w:rsid w:val="005D2934"/>
    <w:rsid w:val="005F3248"/>
    <w:rsid w:val="006010A0"/>
    <w:rsid w:val="00603CD0"/>
    <w:rsid w:val="00614B1B"/>
    <w:rsid w:val="00631E82"/>
    <w:rsid w:val="006647DA"/>
    <w:rsid w:val="00673D5F"/>
    <w:rsid w:val="00680251"/>
    <w:rsid w:val="0069379E"/>
    <w:rsid w:val="006A2EE9"/>
    <w:rsid w:val="006B1740"/>
    <w:rsid w:val="006C3145"/>
    <w:rsid w:val="006E3457"/>
    <w:rsid w:val="0071697E"/>
    <w:rsid w:val="00724644"/>
    <w:rsid w:val="00724CF8"/>
    <w:rsid w:val="007348A7"/>
    <w:rsid w:val="00734CF7"/>
    <w:rsid w:val="0074609A"/>
    <w:rsid w:val="00752436"/>
    <w:rsid w:val="00775C82"/>
    <w:rsid w:val="00786221"/>
    <w:rsid w:val="007A401E"/>
    <w:rsid w:val="007A42FE"/>
    <w:rsid w:val="007B4CF5"/>
    <w:rsid w:val="007C25EB"/>
    <w:rsid w:val="007C3B36"/>
    <w:rsid w:val="007C59D4"/>
    <w:rsid w:val="00800C56"/>
    <w:rsid w:val="00813F22"/>
    <w:rsid w:val="008174AF"/>
    <w:rsid w:val="008258A1"/>
    <w:rsid w:val="0082621D"/>
    <w:rsid w:val="008316FC"/>
    <w:rsid w:val="008363F9"/>
    <w:rsid w:val="00866045"/>
    <w:rsid w:val="00881F51"/>
    <w:rsid w:val="00890B90"/>
    <w:rsid w:val="008A3409"/>
    <w:rsid w:val="008A7FBA"/>
    <w:rsid w:val="008B47F5"/>
    <w:rsid w:val="008D6A65"/>
    <w:rsid w:val="008E4F6F"/>
    <w:rsid w:val="008F3D83"/>
    <w:rsid w:val="008F45DE"/>
    <w:rsid w:val="008F6CD1"/>
    <w:rsid w:val="009140DB"/>
    <w:rsid w:val="00926181"/>
    <w:rsid w:val="00933135"/>
    <w:rsid w:val="00946E20"/>
    <w:rsid w:val="009473F9"/>
    <w:rsid w:val="0095412A"/>
    <w:rsid w:val="00960DFE"/>
    <w:rsid w:val="0096242F"/>
    <w:rsid w:val="009635C6"/>
    <w:rsid w:val="009666B6"/>
    <w:rsid w:val="00973B7C"/>
    <w:rsid w:val="00980A0A"/>
    <w:rsid w:val="00993012"/>
    <w:rsid w:val="009B3C42"/>
    <w:rsid w:val="009C019B"/>
    <w:rsid w:val="009C6C1C"/>
    <w:rsid w:val="009D0336"/>
    <w:rsid w:val="009D5298"/>
    <w:rsid w:val="00A164E1"/>
    <w:rsid w:val="00A22FA3"/>
    <w:rsid w:val="00A464B6"/>
    <w:rsid w:val="00A63612"/>
    <w:rsid w:val="00A70DB7"/>
    <w:rsid w:val="00A73675"/>
    <w:rsid w:val="00A75330"/>
    <w:rsid w:val="00A80A44"/>
    <w:rsid w:val="00AA0B5A"/>
    <w:rsid w:val="00AA0D55"/>
    <w:rsid w:val="00AA6F82"/>
    <w:rsid w:val="00AB2A71"/>
    <w:rsid w:val="00AC5683"/>
    <w:rsid w:val="00AD165B"/>
    <w:rsid w:val="00AE5259"/>
    <w:rsid w:val="00B10F8F"/>
    <w:rsid w:val="00B20254"/>
    <w:rsid w:val="00B24679"/>
    <w:rsid w:val="00B3286B"/>
    <w:rsid w:val="00B34329"/>
    <w:rsid w:val="00B35A7C"/>
    <w:rsid w:val="00B36FB9"/>
    <w:rsid w:val="00B411D7"/>
    <w:rsid w:val="00B5407B"/>
    <w:rsid w:val="00B70F4D"/>
    <w:rsid w:val="00B7322C"/>
    <w:rsid w:val="00B83476"/>
    <w:rsid w:val="00B94F92"/>
    <w:rsid w:val="00BA42C1"/>
    <w:rsid w:val="00BA6716"/>
    <w:rsid w:val="00BB3B13"/>
    <w:rsid w:val="00BB3D39"/>
    <w:rsid w:val="00BB5C21"/>
    <w:rsid w:val="00BF5B1F"/>
    <w:rsid w:val="00C00E04"/>
    <w:rsid w:val="00C07C3C"/>
    <w:rsid w:val="00C13C7D"/>
    <w:rsid w:val="00C14833"/>
    <w:rsid w:val="00C30529"/>
    <w:rsid w:val="00C327BB"/>
    <w:rsid w:val="00C42E67"/>
    <w:rsid w:val="00C44413"/>
    <w:rsid w:val="00C4498B"/>
    <w:rsid w:val="00C477E2"/>
    <w:rsid w:val="00C707F4"/>
    <w:rsid w:val="00C71CBD"/>
    <w:rsid w:val="00C806B3"/>
    <w:rsid w:val="00C81126"/>
    <w:rsid w:val="00C8799C"/>
    <w:rsid w:val="00C91853"/>
    <w:rsid w:val="00C94969"/>
    <w:rsid w:val="00CA3A98"/>
    <w:rsid w:val="00CC3F96"/>
    <w:rsid w:val="00CD274A"/>
    <w:rsid w:val="00CD70BE"/>
    <w:rsid w:val="00CE0415"/>
    <w:rsid w:val="00D057D2"/>
    <w:rsid w:val="00D1321F"/>
    <w:rsid w:val="00D245AC"/>
    <w:rsid w:val="00D40CCD"/>
    <w:rsid w:val="00D50C64"/>
    <w:rsid w:val="00D960F9"/>
    <w:rsid w:val="00DB07D2"/>
    <w:rsid w:val="00DC19EF"/>
    <w:rsid w:val="00DD183C"/>
    <w:rsid w:val="00DE5926"/>
    <w:rsid w:val="00DE7956"/>
    <w:rsid w:val="00E00071"/>
    <w:rsid w:val="00E1139C"/>
    <w:rsid w:val="00E1626B"/>
    <w:rsid w:val="00E21C17"/>
    <w:rsid w:val="00E30878"/>
    <w:rsid w:val="00E41A23"/>
    <w:rsid w:val="00E537C9"/>
    <w:rsid w:val="00E56D46"/>
    <w:rsid w:val="00E57751"/>
    <w:rsid w:val="00E61171"/>
    <w:rsid w:val="00E61534"/>
    <w:rsid w:val="00E84D48"/>
    <w:rsid w:val="00E908FA"/>
    <w:rsid w:val="00ED0CA3"/>
    <w:rsid w:val="00ED51B2"/>
    <w:rsid w:val="00EE7F5E"/>
    <w:rsid w:val="00EF2C4A"/>
    <w:rsid w:val="00EF6DCA"/>
    <w:rsid w:val="00F01745"/>
    <w:rsid w:val="00F05B43"/>
    <w:rsid w:val="00F123B3"/>
    <w:rsid w:val="00F149D4"/>
    <w:rsid w:val="00F35CC2"/>
    <w:rsid w:val="00F56880"/>
    <w:rsid w:val="00F735BF"/>
    <w:rsid w:val="00F91F12"/>
    <w:rsid w:val="00FA257E"/>
    <w:rsid w:val="00FB3A2E"/>
    <w:rsid w:val="00FB6AA0"/>
    <w:rsid w:val="00FB78C0"/>
    <w:rsid w:val="00FE007E"/>
    <w:rsid w:val="00FE111B"/>
    <w:rsid w:val="00FF15F3"/>
    <w:rsid w:val="00FF5D0B"/>
    <w:rsid w:val="00FF702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75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751"/>
    <w:pPr>
      <w:spacing w:after="240"/>
    </w:pPr>
  </w:style>
  <w:style w:type="character" w:customStyle="1" w:styleId="BodyTextChar">
    <w:name w:val="Body Text Char"/>
    <w:basedOn w:val="DefaultParagraphFont"/>
    <w:link w:val="BodyText"/>
    <w:rsid w:val="00813F22"/>
    <w:rPr>
      <w:rFonts w:ascii="Times New Roman" w:hAnsi="Times New Roman" w:cs="Times New Roman"/>
      <w:sz w:val="24"/>
      <w:szCs w:val="24"/>
    </w:rPr>
  </w:style>
  <w:style w:type="paragraph" w:styleId="Quote">
    <w:name w:val="Quote"/>
    <w:basedOn w:val="Normal"/>
    <w:next w:val="Normal"/>
    <w:link w:val="QuoteChar"/>
    <w:qFormat/>
    <w:rsid w:val="00E57751"/>
    <w:pPr>
      <w:spacing w:after="240"/>
      <w:ind w:left="1440" w:right="1440"/>
    </w:pPr>
    <w:rPr>
      <w:szCs w:val="20"/>
    </w:rPr>
  </w:style>
  <w:style w:type="character" w:customStyle="1" w:styleId="QuoteChar">
    <w:name w:val="Quote Char"/>
    <w:basedOn w:val="DefaultParagraphFont"/>
    <w:link w:val="Quote"/>
    <w:rsid w:val="00813F22"/>
    <w:rPr>
      <w:rFonts w:ascii="Times New Roman" w:hAnsi="Times New Roman" w:cs="Times New Roman"/>
      <w:sz w:val="24"/>
      <w:szCs w:val="20"/>
    </w:rPr>
  </w:style>
  <w:style w:type="paragraph" w:customStyle="1" w:styleId="Title3">
    <w:name w:val="Title 3"/>
    <w:basedOn w:val="Normal"/>
    <w:rsid w:val="00E57751"/>
    <w:pPr>
      <w:spacing w:after="240"/>
      <w:contextualSpacing/>
      <w:outlineLvl w:val="0"/>
    </w:pPr>
    <w:rPr>
      <w:rFonts w:hAnsi="Times New Roman Bold" w:cs="Arial"/>
      <w:b/>
      <w:bCs/>
      <w:u w:val="single"/>
    </w:rPr>
  </w:style>
  <w:style w:type="paragraph" w:styleId="Title">
    <w:name w:val="Title"/>
    <w:basedOn w:val="Normal"/>
    <w:link w:val="TitleChar"/>
    <w:qFormat/>
    <w:rsid w:val="00E57751"/>
    <w:pPr>
      <w:spacing w:after="240"/>
      <w:contextualSpacing/>
      <w:jc w:val="center"/>
      <w:outlineLvl w:val="0"/>
    </w:pPr>
    <w:rPr>
      <w:rFonts w:hAnsi="Times New Roman Bold" w:cs="Arial"/>
      <w:b/>
      <w:bCs/>
      <w:u w:val="single"/>
    </w:rPr>
  </w:style>
  <w:style w:type="character" w:customStyle="1" w:styleId="TitleChar">
    <w:name w:val="Title Char"/>
    <w:basedOn w:val="DefaultParagraphFont"/>
    <w:link w:val="Title"/>
    <w:rsid w:val="00813F22"/>
    <w:rPr>
      <w:rFonts w:ascii="Times New Roman" w:hAnsi="Times New Roman Bold" w:cs="Arial"/>
      <w:b/>
      <w:bCs/>
      <w:sz w:val="24"/>
      <w:szCs w:val="24"/>
      <w:u w:val="single"/>
    </w:rPr>
  </w:style>
  <w:style w:type="paragraph" w:customStyle="1" w:styleId="Title1">
    <w:name w:val="Title 1"/>
    <w:basedOn w:val="Normal"/>
    <w:rsid w:val="00E57751"/>
    <w:pPr>
      <w:spacing w:after="240"/>
      <w:contextualSpacing/>
      <w:jc w:val="center"/>
      <w:outlineLvl w:val="0"/>
    </w:pPr>
    <w:rPr>
      <w:rFonts w:hAnsi="Times New Roman Bold" w:cs="Arial"/>
      <w:b/>
      <w:bCs/>
    </w:rPr>
  </w:style>
  <w:style w:type="paragraph" w:customStyle="1" w:styleId="Title2">
    <w:name w:val="Title 2"/>
    <w:basedOn w:val="Normal"/>
    <w:rsid w:val="00E57751"/>
    <w:pPr>
      <w:spacing w:after="240"/>
      <w:contextualSpacing/>
      <w:jc w:val="center"/>
      <w:outlineLvl w:val="0"/>
    </w:pPr>
    <w:rPr>
      <w:rFonts w:cs="Arial"/>
      <w:bCs/>
      <w:u w:val="single"/>
    </w:rPr>
  </w:style>
  <w:style w:type="paragraph" w:customStyle="1" w:styleId="Title4">
    <w:name w:val="Title 4"/>
    <w:basedOn w:val="Normal"/>
    <w:rsid w:val="00E57751"/>
    <w:pPr>
      <w:spacing w:after="240"/>
      <w:contextualSpacing/>
      <w:outlineLvl w:val="0"/>
    </w:pPr>
    <w:rPr>
      <w:rFonts w:cs="Arial"/>
      <w:bCs/>
      <w:u w:val="single"/>
    </w:rPr>
  </w:style>
  <w:style w:type="paragraph" w:styleId="ListBullet">
    <w:name w:val="List Bullet"/>
    <w:basedOn w:val="Normal"/>
    <w:rsid w:val="00E57751"/>
    <w:pPr>
      <w:numPr>
        <w:numId w:val="1"/>
      </w:numPr>
      <w:tabs>
        <w:tab w:val="clear" w:pos="360"/>
        <w:tab w:val="left" w:pos="720"/>
      </w:tabs>
      <w:ind w:left="720" w:hanging="720"/>
    </w:pPr>
  </w:style>
  <w:style w:type="paragraph" w:customStyle="1" w:styleId="Title5">
    <w:name w:val="Title 5"/>
    <w:basedOn w:val="Title"/>
    <w:rsid w:val="00E57751"/>
    <w:pPr>
      <w:jc w:val="left"/>
    </w:pPr>
    <w:rPr>
      <w:u w:val="none"/>
    </w:rPr>
  </w:style>
  <w:style w:type="paragraph" w:styleId="ListBullet2">
    <w:name w:val="List Bullet 2"/>
    <w:basedOn w:val="ListBullet"/>
    <w:rsid w:val="00E57751"/>
    <w:pPr>
      <w:numPr>
        <w:numId w:val="2"/>
      </w:numPr>
      <w:tabs>
        <w:tab w:val="left" w:pos="720"/>
        <w:tab w:val="left" w:pos="1440"/>
      </w:tabs>
      <w:ind w:left="1440" w:hanging="720"/>
    </w:pPr>
  </w:style>
  <w:style w:type="paragraph" w:styleId="ListBullet3">
    <w:name w:val="List Bullet 3"/>
    <w:basedOn w:val="ListBullet"/>
    <w:rsid w:val="00E57751"/>
    <w:pPr>
      <w:numPr>
        <w:numId w:val="3"/>
      </w:numPr>
      <w:tabs>
        <w:tab w:val="clear" w:pos="1080"/>
        <w:tab w:val="left" w:pos="1440"/>
      </w:tabs>
      <w:ind w:left="2160" w:hanging="720"/>
    </w:pPr>
  </w:style>
  <w:style w:type="paragraph" w:styleId="ListNumber">
    <w:name w:val="List Number"/>
    <w:basedOn w:val="Normal"/>
    <w:rsid w:val="00E57751"/>
    <w:pPr>
      <w:numPr>
        <w:numId w:val="6"/>
      </w:numPr>
      <w:tabs>
        <w:tab w:val="clear" w:pos="360"/>
        <w:tab w:val="left" w:pos="720"/>
      </w:tabs>
      <w:spacing w:after="240"/>
      <w:ind w:left="720" w:hanging="720"/>
    </w:pPr>
  </w:style>
  <w:style w:type="paragraph" w:styleId="ListNumber2">
    <w:name w:val="List Number 2"/>
    <w:basedOn w:val="Normal"/>
    <w:rsid w:val="00E57751"/>
    <w:pPr>
      <w:numPr>
        <w:numId w:val="7"/>
      </w:numPr>
      <w:tabs>
        <w:tab w:val="left" w:pos="720"/>
        <w:tab w:val="left" w:pos="1440"/>
      </w:tabs>
      <w:spacing w:after="240"/>
      <w:ind w:left="1440" w:hanging="720"/>
    </w:pPr>
  </w:style>
  <w:style w:type="paragraph" w:styleId="ListNumber3">
    <w:name w:val="List Number 3"/>
    <w:basedOn w:val="Normal"/>
    <w:rsid w:val="00E57751"/>
    <w:pPr>
      <w:numPr>
        <w:numId w:val="8"/>
      </w:numPr>
      <w:tabs>
        <w:tab w:val="clear" w:pos="1080"/>
        <w:tab w:val="left" w:pos="720"/>
        <w:tab w:val="left" w:pos="1440"/>
      </w:tabs>
      <w:spacing w:after="240"/>
      <w:ind w:left="2160" w:hanging="720"/>
    </w:pPr>
  </w:style>
  <w:style w:type="paragraph" w:styleId="Header">
    <w:name w:val="header"/>
    <w:basedOn w:val="Normal"/>
    <w:link w:val="HeaderChar"/>
    <w:rsid w:val="00E57751"/>
    <w:pPr>
      <w:tabs>
        <w:tab w:val="center" w:pos="4320"/>
        <w:tab w:val="right" w:pos="8640"/>
      </w:tabs>
    </w:pPr>
  </w:style>
  <w:style w:type="character" w:customStyle="1" w:styleId="HeaderChar">
    <w:name w:val="Header Char"/>
    <w:basedOn w:val="DefaultParagraphFont"/>
    <w:link w:val="Header"/>
    <w:rsid w:val="00813F22"/>
    <w:rPr>
      <w:rFonts w:ascii="Times New Roman" w:hAnsi="Times New Roman" w:cs="Times New Roman"/>
      <w:sz w:val="24"/>
      <w:szCs w:val="24"/>
    </w:rPr>
  </w:style>
  <w:style w:type="paragraph" w:styleId="Footer">
    <w:name w:val="footer"/>
    <w:basedOn w:val="Normal"/>
    <w:link w:val="FooterChar"/>
    <w:uiPriority w:val="99"/>
    <w:rsid w:val="00E57751"/>
    <w:pPr>
      <w:tabs>
        <w:tab w:val="center" w:pos="4320"/>
        <w:tab w:val="right" w:pos="8640"/>
      </w:tabs>
    </w:pPr>
  </w:style>
  <w:style w:type="character" w:customStyle="1" w:styleId="FooterChar">
    <w:name w:val="Footer Char"/>
    <w:basedOn w:val="DefaultParagraphFont"/>
    <w:link w:val="Footer"/>
    <w:uiPriority w:val="99"/>
    <w:rsid w:val="00813F22"/>
    <w:rPr>
      <w:rFonts w:ascii="Times New Roman" w:hAnsi="Times New Roman" w:cs="Times New Roman"/>
      <w:sz w:val="24"/>
      <w:szCs w:val="24"/>
    </w:rPr>
  </w:style>
  <w:style w:type="character" w:customStyle="1" w:styleId="zzmpTrailerItem">
    <w:name w:val="zzmpTrailerItem"/>
    <w:basedOn w:val="DefaultParagraphFont"/>
    <w:rsid w:val="00B20254"/>
    <w:rPr>
      <w:rFonts w:ascii="Times New Roman" w:hAnsi="Times New Roman" w:cs="Times New Roman"/>
      <w:dstrike w:val="0"/>
      <w:noProof/>
      <w:color w:val="auto"/>
      <w:spacing w:val="0"/>
      <w:position w:val="0"/>
      <w:sz w:val="12"/>
      <w:szCs w:val="16"/>
      <w:u w:val="none"/>
      <w:effect w:val="none"/>
      <w:vertAlign w:val="baseline"/>
    </w:rPr>
  </w:style>
  <w:style w:type="paragraph" w:styleId="ListParagraph">
    <w:name w:val="List Paragraph"/>
    <w:basedOn w:val="Normal"/>
    <w:link w:val="ListParagraphChar"/>
    <w:uiPriority w:val="34"/>
    <w:qFormat/>
    <w:rsid w:val="0035435D"/>
    <w:pPr>
      <w:ind w:left="720"/>
      <w:contextualSpacing/>
    </w:pPr>
  </w:style>
  <w:style w:type="paragraph" w:customStyle="1" w:styleId="OutlineCont1">
    <w:name w:val="Outline Cont 1"/>
    <w:basedOn w:val="Normal"/>
    <w:link w:val="OutlineCont1Char"/>
    <w:rsid w:val="00EE7F5E"/>
    <w:pPr>
      <w:spacing w:after="240"/>
    </w:pPr>
    <w:rPr>
      <w:szCs w:val="20"/>
    </w:rPr>
  </w:style>
  <w:style w:type="character" w:customStyle="1" w:styleId="ListParagraphChar">
    <w:name w:val="List Paragraph Char"/>
    <w:basedOn w:val="DefaultParagraphFont"/>
    <w:link w:val="ListParagraph"/>
    <w:uiPriority w:val="34"/>
    <w:rsid w:val="00EE7F5E"/>
    <w:rPr>
      <w:rFonts w:ascii="Times New Roman" w:hAnsi="Times New Roman" w:cs="Times New Roman"/>
      <w:sz w:val="24"/>
      <w:szCs w:val="24"/>
    </w:rPr>
  </w:style>
  <w:style w:type="character" w:customStyle="1" w:styleId="OutlineCont1Char">
    <w:name w:val="Outline Cont 1 Char"/>
    <w:basedOn w:val="ListParagraphChar"/>
    <w:link w:val="OutlineCont1"/>
    <w:rsid w:val="00EE7F5E"/>
    <w:rPr>
      <w:rFonts w:ascii="Times New Roman" w:hAnsi="Times New Roman" w:cs="Times New Roman"/>
      <w:sz w:val="24"/>
      <w:szCs w:val="20"/>
    </w:rPr>
  </w:style>
  <w:style w:type="paragraph" w:customStyle="1" w:styleId="OutlineCont2">
    <w:name w:val="Outline Cont 2"/>
    <w:basedOn w:val="OutlineCont1"/>
    <w:link w:val="OutlineCont2Char"/>
    <w:rsid w:val="00EE7F5E"/>
  </w:style>
  <w:style w:type="character" w:customStyle="1" w:styleId="OutlineCont2Char">
    <w:name w:val="Outline Cont 2 Char"/>
    <w:basedOn w:val="ListParagraphChar"/>
    <w:link w:val="OutlineCont2"/>
    <w:rsid w:val="00EE7F5E"/>
    <w:rPr>
      <w:rFonts w:ascii="Times New Roman" w:hAnsi="Times New Roman" w:cs="Times New Roman"/>
      <w:sz w:val="24"/>
      <w:szCs w:val="20"/>
    </w:rPr>
  </w:style>
  <w:style w:type="paragraph" w:customStyle="1" w:styleId="OutlineCont3">
    <w:name w:val="Outline Cont 3"/>
    <w:basedOn w:val="OutlineCont2"/>
    <w:link w:val="OutlineCont3Char"/>
    <w:rsid w:val="00EE7F5E"/>
  </w:style>
  <w:style w:type="character" w:customStyle="1" w:styleId="OutlineCont3Char">
    <w:name w:val="Outline Cont 3 Char"/>
    <w:basedOn w:val="ListParagraphChar"/>
    <w:link w:val="OutlineCont3"/>
    <w:rsid w:val="00EE7F5E"/>
    <w:rPr>
      <w:rFonts w:ascii="Times New Roman" w:hAnsi="Times New Roman" w:cs="Times New Roman"/>
      <w:sz w:val="24"/>
      <w:szCs w:val="20"/>
    </w:rPr>
  </w:style>
  <w:style w:type="paragraph" w:customStyle="1" w:styleId="OutlineCont4">
    <w:name w:val="Outline Cont 4"/>
    <w:basedOn w:val="OutlineCont3"/>
    <w:link w:val="OutlineCont4Char"/>
    <w:rsid w:val="00EE7F5E"/>
  </w:style>
  <w:style w:type="character" w:customStyle="1" w:styleId="OutlineCont4Char">
    <w:name w:val="Outline Cont 4 Char"/>
    <w:basedOn w:val="ListParagraphChar"/>
    <w:link w:val="OutlineCont4"/>
    <w:rsid w:val="00EE7F5E"/>
    <w:rPr>
      <w:rFonts w:ascii="Times New Roman" w:hAnsi="Times New Roman" w:cs="Times New Roman"/>
      <w:sz w:val="24"/>
      <w:szCs w:val="20"/>
    </w:rPr>
  </w:style>
  <w:style w:type="paragraph" w:customStyle="1" w:styleId="OutlineCont5">
    <w:name w:val="Outline Cont 5"/>
    <w:basedOn w:val="OutlineCont4"/>
    <w:link w:val="OutlineCont5Char"/>
    <w:rsid w:val="00EE7F5E"/>
  </w:style>
  <w:style w:type="character" w:customStyle="1" w:styleId="OutlineCont5Char">
    <w:name w:val="Outline Cont 5 Char"/>
    <w:basedOn w:val="ListParagraphChar"/>
    <w:link w:val="OutlineCont5"/>
    <w:rsid w:val="00EE7F5E"/>
    <w:rPr>
      <w:rFonts w:ascii="Times New Roman" w:hAnsi="Times New Roman" w:cs="Times New Roman"/>
      <w:sz w:val="24"/>
      <w:szCs w:val="20"/>
    </w:rPr>
  </w:style>
  <w:style w:type="paragraph" w:customStyle="1" w:styleId="OutlineCont6">
    <w:name w:val="Outline Cont 6"/>
    <w:basedOn w:val="OutlineCont5"/>
    <w:link w:val="OutlineCont6Char"/>
    <w:rsid w:val="00EE7F5E"/>
  </w:style>
  <w:style w:type="character" w:customStyle="1" w:styleId="OutlineCont6Char">
    <w:name w:val="Outline Cont 6 Char"/>
    <w:basedOn w:val="ListParagraphChar"/>
    <w:link w:val="OutlineCont6"/>
    <w:rsid w:val="00EE7F5E"/>
    <w:rPr>
      <w:rFonts w:ascii="Times New Roman" w:hAnsi="Times New Roman" w:cs="Times New Roman"/>
      <w:sz w:val="24"/>
      <w:szCs w:val="20"/>
    </w:rPr>
  </w:style>
  <w:style w:type="paragraph" w:customStyle="1" w:styleId="OutlineCont7">
    <w:name w:val="Outline Cont 7"/>
    <w:basedOn w:val="OutlineCont6"/>
    <w:link w:val="OutlineCont7Char"/>
    <w:rsid w:val="00EE7F5E"/>
  </w:style>
  <w:style w:type="character" w:customStyle="1" w:styleId="OutlineCont7Char">
    <w:name w:val="Outline Cont 7 Char"/>
    <w:basedOn w:val="ListParagraphChar"/>
    <w:link w:val="OutlineCont7"/>
    <w:rsid w:val="00EE7F5E"/>
    <w:rPr>
      <w:rFonts w:ascii="Times New Roman" w:hAnsi="Times New Roman" w:cs="Times New Roman"/>
      <w:sz w:val="24"/>
      <w:szCs w:val="20"/>
    </w:rPr>
  </w:style>
  <w:style w:type="paragraph" w:customStyle="1" w:styleId="OutlineCont8">
    <w:name w:val="Outline Cont 8"/>
    <w:basedOn w:val="OutlineCont7"/>
    <w:link w:val="OutlineCont8Char"/>
    <w:rsid w:val="00EE7F5E"/>
  </w:style>
  <w:style w:type="character" w:customStyle="1" w:styleId="OutlineCont8Char">
    <w:name w:val="Outline Cont 8 Char"/>
    <w:basedOn w:val="ListParagraphChar"/>
    <w:link w:val="OutlineCont8"/>
    <w:rsid w:val="00EE7F5E"/>
    <w:rPr>
      <w:rFonts w:ascii="Times New Roman" w:hAnsi="Times New Roman" w:cs="Times New Roman"/>
      <w:sz w:val="24"/>
      <w:szCs w:val="20"/>
    </w:rPr>
  </w:style>
  <w:style w:type="paragraph" w:customStyle="1" w:styleId="OutlineCont9">
    <w:name w:val="Outline Cont 9"/>
    <w:basedOn w:val="OutlineCont8"/>
    <w:link w:val="OutlineCont9Char"/>
    <w:rsid w:val="00EE7F5E"/>
  </w:style>
  <w:style w:type="character" w:customStyle="1" w:styleId="OutlineCont9Char">
    <w:name w:val="Outline Cont 9 Char"/>
    <w:basedOn w:val="ListParagraphChar"/>
    <w:link w:val="OutlineCont9"/>
    <w:rsid w:val="00EE7F5E"/>
    <w:rPr>
      <w:rFonts w:ascii="Times New Roman" w:hAnsi="Times New Roman" w:cs="Times New Roman"/>
      <w:sz w:val="24"/>
      <w:szCs w:val="20"/>
    </w:rPr>
  </w:style>
  <w:style w:type="paragraph" w:customStyle="1" w:styleId="OutlineL1">
    <w:name w:val="Outline_L1"/>
    <w:basedOn w:val="Normal"/>
    <w:next w:val="BodyText"/>
    <w:link w:val="OutlineL1Char"/>
    <w:rsid w:val="00EE7F5E"/>
    <w:pPr>
      <w:numPr>
        <w:numId w:val="14"/>
      </w:numPr>
      <w:spacing w:after="240"/>
      <w:outlineLvl w:val="0"/>
    </w:pPr>
    <w:rPr>
      <w:szCs w:val="20"/>
    </w:rPr>
  </w:style>
  <w:style w:type="character" w:customStyle="1" w:styleId="OutlineL1Char">
    <w:name w:val="Outline_L1 Char"/>
    <w:basedOn w:val="ListParagraphChar"/>
    <w:link w:val="OutlineL1"/>
    <w:rsid w:val="00EE7F5E"/>
    <w:rPr>
      <w:rFonts w:ascii="Times New Roman" w:hAnsi="Times New Roman" w:cs="Times New Roman"/>
      <w:sz w:val="24"/>
      <w:szCs w:val="20"/>
    </w:rPr>
  </w:style>
  <w:style w:type="paragraph" w:customStyle="1" w:styleId="OutlineL2">
    <w:name w:val="Outline_L2"/>
    <w:basedOn w:val="OutlineL1"/>
    <w:next w:val="BodyText"/>
    <w:link w:val="OutlineL2Char"/>
    <w:rsid w:val="00EE7F5E"/>
    <w:pPr>
      <w:numPr>
        <w:ilvl w:val="1"/>
      </w:numPr>
      <w:outlineLvl w:val="1"/>
    </w:pPr>
  </w:style>
  <w:style w:type="character" w:customStyle="1" w:styleId="OutlineL2Char">
    <w:name w:val="Outline_L2 Char"/>
    <w:basedOn w:val="ListParagraphChar"/>
    <w:link w:val="OutlineL2"/>
    <w:rsid w:val="00EE7F5E"/>
    <w:rPr>
      <w:rFonts w:ascii="Times New Roman" w:hAnsi="Times New Roman" w:cs="Times New Roman"/>
      <w:sz w:val="24"/>
      <w:szCs w:val="20"/>
    </w:rPr>
  </w:style>
  <w:style w:type="paragraph" w:customStyle="1" w:styleId="OutlineL3">
    <w:name w:val="Outline_L3"/>
    <w:basedOn w:val="OutlineL2"/>
    <w:next w:val="BodyText"/>
    <w:link w:val="OutlineL3Char"/>
    <w:rsid w:val="00EE7F5E"/>
    <w:pPr>
      <w:numPr>
        <w:ilvl w:val="2"/>
      </w:numPr>
      <w:outlineLvl w:val="2"/>
    </w:pPr>
  </w:style>
  <w:style w:type="character" w:customStyle="1" w:styleId="OutlineL3Char">
    <w:name w:val="Outline_L3 Char"/>
    <w:basedOn w:val="ListParagraphChar"/>
    <w:link w:val="OutlineL3"/>
    <w:rsid w:val="00EE7F5E"/>
    <w:rPr>
      <w:rFonts w:ascii="Times New Roman" w:hAnsi="Times New Roman" w:cs="Times New Roman"/>
      <w:sz w:val="24"/>
      <w:szCs w:val="20"/>
    </w:rPr>
  </w:style>
  <w:style w:type="paragraph" w:customStyle="1" w:styleId="OutlineL4">
    <w:name w:val="Outline_L4"/>
    <w:basedOn w:val="OutlineL3"/>
    <w:next w:val="BodyText"/>
    <w:link w:val="OutlineL4Char"/>
    <w:rsid w:val="00EE7F5E"/>
    <w:pPr>
      <w:numPr>
        <w:ilvl w:val="3"/>
      </w:numPr>
      <w:outlineLvl w:val="3"/>
    </w:pPr>
  </w:style>
  <w:style w:type="character" w:customStyle="1" w:styleId="OutlineL4Char">
    <w:name w:val="Outline_L4 Char"/>
    <w:basedOn w:val="ListParagraphChar"/>
    <w:link w:val="OutlineL4"/>
    <w:rsid w:val="00EE7F5E"/>
    <w:rPr>
      <w:rFonts w:ascii="Times New Roman" w:hAnsi="Times New Roman" w:cs="Times New Roman"/>
      <w:sz w:val="24"/>
      <w:szCs w:val="20"/>
    </w:rPr>
  </w:style>
  <w:style w:type="paragraph" w:customStyle="1" w:styleId="OutlineL5">
    <w:name w:val="Outline_L5"/>
    <w:basedOn w:val="OutlineL4"/>
    <w:next w:val="BodyText"/>
    <w:link w:val="OutlineL5Char"/>
    <w:rsid w:val="00EE7F5E"/>
    <w:pPr>
      <w:numPr>
        <w:ilvl w:val="4"/>
      </w:numPr>
      <w:outlineLvl w:val="4"/>
    </w:pPr>
  </w:style>
  <w:style w:type="character" w:customStyle="1" w:styleId="OutlineL5Char">
    <w:name w:val="Outline_L5 Char"/>
    <w:basedOn w:val="ListParagraphChar"/>
    <w:link w:val="OutlineL5"/>
    <w:rsid w:val="00EE7F5E"/>
    <w:rPr>
      <w:rFonts w:ascii="Times New Roman" w:hAnsi="Times New Roman" w:cs="Times New Roman"/>
      <w:sz w:val="24"/>
      <w:szCs w:val="20"/>
    </w:rPr>
  </w:style>
  <w:style w:type="paragraph" w:customStyle="1" w:styleId="OutlineL6">
    <w:name w:val="Outline_L6"/>
    <w:basedOn w:val="OutlineL5"/>
    <w:next w:val="BodyText"/>
    <w:link w:val="OutlineL6Char"/>
    <w:rsid w:val="00EE7F5E"/>
    <w:pPr>
      <w:numPr>
        <w:ilvl w:val="5"/>
      </w:numPr>
      <w:outlineLvl w:val="5"/>
    </w:pPr>
  </w:style>
  <w:style w:type="character" w:customStyle="1" w:styleId="OutlineL6Char">
    <w:name w:val="Outline_L6 Char"/>
    <w:basedOn w:val="ListParagraphChar"/>
    <w:link w:val="OutlineL6"/>
    <w:rsid w:val="00EE7F5E"/>
    <w:rPr>
      <w:rFonts w:ascii="Times New Roman" w:hAnsi="Times New Roman" w:cs="Times New Roman"/>
      <w:sz w:val="24"/>
      <w:szCs w:val="20"/>
    </w:rPr>
  </w:style>
  <w:style w:type="paragraph" w:customStyle="1" w:styleId="OutlineL7">
    <w:name w:val="Outline_L7"/>
    <w:basedOn w:val="OutlineL6"/>
    <w:next w:val="BodyText"/>
    <w:link w:val="OutlineL7Char"/>
    <w:rsid w:val="00EE7F5E"/>
    <w:pPr>
      <w:numPr>
        <w:ilvl w:val="6"/>
      </w:numPr>
      <w:outlineLvl w:val="6"/>
    </w:pPr>
  </w:style>
  <w:style w:type="character" w:customStyle="1" w:styleId="OutlineL7Char">
    <w:name w:val="Outline_L7 Char"/>
    <w:basedOn w:val="ListParagraphChar"/>
    <w:link w:val="OutlineL7"/>
    <w:rsid w:val="00EE7F5E"/>
    <w:rPr>
      <w:rFonts w:ascii="Times New Roman" w:hAnsi="Times New Roman" w:cs="Times New Roman"/>
      <w:sz w:val="24"/>
      <w:szCs w:val="20"/>
    </w:rPr>
  </w:style>
  <w:style w:type="paragraph" w:customStyle="1" w:styleId="OutlineL8">
    <w:name w:val="Outline_L8"/>
    <w:basedOn w:val="OutlineL7"/>
    <w:next w:val="BodyText"/>
    <w:link w:val="OutlineL8Char"/>
    <w:rsid w:val="00EE7F5E"/>
    <w:pPr>
      <w:numPr>
        <w:ilvl w:val="7"/>
      </w:numPr>
      <w:outlineLvl w:val="7"/>
    </w:pPr>
  </w:style>
  <w:style w:type="character" w:customStyle="1" w:styleId="OutlineL8Char">
    <w:name w:val="Outline_L8 Char"/>
    <w:basedOn w:val="ListParagraphChar"/>
    <w:link w:val="OutlineL8"/>
    <w:rsid w:val="00EE7F5E"/>
    <w:rPr>
      <w:rFonts w:ascii="Times New Roman" w:hAnsi="Times New Roman" w:cs="Times New Roman"/>
      <w:sz w:val="24"/>
      <w:szCs w:val="20"/>
    </w:rPr>
  </w:style>
  <w:style w:type="paragraph" w:customStyle="1" w:styleId="OutlineL9">
    <w:name w:val="Outline_L9"/>
    <w:basedOn w:val="OutlineL8"/>
    <w:next w:val="BodyText"/>
    <w:link w:val="OutlineL9Char"/>
    <w:rsid w:val="00EE7F5E"/>
    <w:pPr>
      <w:numPr>
        <w:ilvl w:val="8"/>
      </w:numPr>
      <w:outlineLvl w:val="8"/>
    </w:pPr>
  </w:style>
  <w:style w:type="character" w:customStyle="1" w:styleId="OutlineL9Char">
    <w:name w:val="Outline_L9 Char"/>
    <w:basedOn w:val="ListParagraphChar"/>
    <w:link w:val="OutlineL9"/>
    <w:rsid w:val="00EE7F5E"/>
    <w:rPr>
      <w:rFonts w:ascii="Times New Roman" w:hAnsi="Times New Roman" w:cs="Times New Roman"/>
      <w:sz w:val="24"/>
      <w:szCs w:val="20"/>
    </w:rPr>
  </w:style>
  <w:style w:type="paragraph" w:styleId="EndnoteText">
    <w:name w:val="endnote text"/>
    <w:basedOn w:val="Normal"/>
    <w:link w:val="EndnoteTextChar"/>
    <w:uiPriority w:val="99"/>
    <w:semiHidden/>
    <w:unhideWhenUsed/>
    <w:rsid w:val="00614B1B"/>
    <w:rPr>
      <w:sz w:val="20"/>
      <w:szCs w:val="20"/>
    </w:rPr>
  </w:style>
  <w:style w:type="character" w:customStyle="1" w:styleId="EndnoteTextChar">
    <w:name w:val="Endnote Text Char"/>
    <w:basedOn w:val="DefaultParagraphFont"/>
    <w:link w:val="EndnoteText"/>
    <w:uiPriority w:val="99"/>
    <w:semiHidden/>
    <w:rsid w:val="00614B1B"/>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14B1B"/>
    <w:rPr>
      <w:vertAlign w:val="superscript"/>
    </w:rPr>
  </w:style>
  <w:style w:type="paragraph" w:styleId="FootnoteText">
    <w:name w:val="footnote text"/>
    <w:basedOn w:val="Normal"/>
    <w:link w:val="FootnoteTextChar"/>
    <w:uiPriority w:val="99"/>
    <w:unhideWhenUsed/>
    <w:rsid w:val="00212C52"/>
    <w:rPr>
      <w:sz w:val="20"/>
      <w:szCs w:val="20"/>
    </w:rPr>
  </w:style>
  <w:style w:type="character" w:customStyle="1" w:styleId="FootnoteTextChar">
    <w:name w:val="Footnote Text Char"/>
    <w:basedOn w:val="DefaultParagraphFont"/>
    <w:link w:val="FootnoteText"/>
    <w:uiPriority w:val="99"/>
    <w:rsid w:val="00212C52"/>
    <w:rPr>
      <w:rFonts w:ascii="Times New Roman" w:hAnsi="Times New Roman" w:cs="Times New Roman"/>
      <w:sz w:val="20"/>
      <w:szCs w:val="20"/>
    </w:rPr>
  </w:style>
  <w:style w:type="character" w:styleId="FootnoteReference">
    <w:name w:val="footnote reference"/>
    <w:basedOn w:val="DefaultParagraphFont"/>
    <w:uiPriority w:val="99"/>
    <w:unhideWhenUsed/>
    <w:rsid w:val="00212C52"/>
    <w:rPr>
      <w:vertAlign w:val="superscript"/>
    </w:rPr>
  </w:style>
  <w:style w:type="character" w:styleId="Hyperlink">
    <w:name w:val="Hyperlink"/>
    <w:basedOn w:val="DefaultParagraphFont"/>
    <w:uiPriority w:val="99"/>
    <w:unhideWhenUsed/>
    <w:rsid w:val="00A80A44"/>
    <w:rPr>
      <w:color w:val="0000FF" w:themeColor="hyperlink"/>
      <w:u w:val="single"/>
    </w:rPr>
  </w:style>
  <w:style w:type="table" w:styleId="TableGrid">
    <w:name w:val="Table Grid"/>
    <w:basedOn w:val="TableNormal"/>
    <w:uiPriority w:val="59"/>
    <w:rsid w:val="00A63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2A71"/>
    <w:rPr>
      <w:rFonts w:ascii="Tahoma" w:hAnsi="Tahoma" w:cs="Tahoma"/>
      <w:sz w:val="16"/>
      <w:szCs w:val="16"/>
    </w:rPr>
  </w:style>
  <w:style w:type="character" w:customStyle="1" w:styleId="BalloonTextChar">
    <w:name w:val="Balloon Text Char"/>
    <w:basedOn w:val="DefaultParagraphFont"/>
    <w:link w:val="BalloonText"/>
    <w:uiPriority w:val="99"/>
    <w:semiHidden/>
    <w:rsid w:val="00AB2A71"/>
    <w:rPr>
      <w:rFonts w:ascii="Tahoma" w:hAnsi="Tahoma" w:cs="Tahoma"/>
      <w:sz w:val="16"/>
      <w:szCs w:val="16"/>
    </w:rPr>
  </w:style>
  <w:style w:type="paragraph" w:styleId="NormalWeb">
    <w:name w:val="Normal (Web)"/>
    <w:basedOn w:val="Normal"/>
    <w:uiPriority w:val="99"/>
    <w:unhideWhenUsed/>
    <w:rsid w:val="0074609A"/>
    <w:pPr>
      <w:spacing w:before="100" w:beforeAutospacing="1" w:after="100" w:afterAutospacing="1"/>
    </w:pPr>
    <w:rPr>
      <w:rFonts w:ascii="Times" w:eastAsiaTheme="minorEastAsia" w:hAnsi="Times"/>
      <w:sz w:val="20"/>
      <w:szCs w:val="20"/>
    </w:rPr>
  </w:style>
  <w:style w:type="paragraph" w:styleId="HTMLPreformatted">
    <w:name w:val="HTML Preformatted"/>
    <w:basedOn w:val="Normal"/>
    <w:link w:val="HTMLPreformattedChar"/>
    <w:uiPriority w:val="99"/>
    <w:unhideWhenUsed/>
    <w:rsid w:val="0074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74609A"/>
    <w:rPr>
      <w:rFonts w:ascii="Courier" w:eastAsiaTheme="minorEastAsia" w:hAnsi="Courier" w:cs="Courier"/>
      <w:sz w:val="20"/>
      <w:szCs w:val="20"/>
    </w:rPr>
  </w:style>
  <w:style w:type="character" w:customStyle="1" w:styleId="ptext-3">
    <w:name w:val="ptext-3"/>
    <w:basedOn w:val="DefaultParagraphFont"/>
    <w:rsid w:val="0074609A"/>
  </w:style>
  <w:style w:type="character" w:customStyle="1" w:styleId="apple-converted-space">
    <w:name w:val="apple-converted-space"/>
    <w:basedOn w:val="DefaultParagraphFont"/>
    <w:rsid w:val="00B10F8F"/>
  </w:style>
  <w:style w:type="character" w:styleId="Emphasis">
    <w:name w:val="Emphasis"/>
    <w:basedOn w:val="DefaultParagraphFont"/>
    <w:uiPriority w:val="20"/>
    <w:qFormat/>
    <w:rsid w:val="009C019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75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751"/>
    <w:pPr>
      <w:spacing w:after="240"/>
    </w:pPr>
  </w:style>
  <w:style w:type="character" w:customStyle="1" w:styleId="BodyTextChar">
    <w:name w:val="Body Text Char"/>
    <w:basedOn w:val="DefaultParagraphFont"/>
    <w:link w:val="BodyText"/>
    <w:rsid w:val="00813F22"/>
    <w:rPr>
      <w:rFonts w:ascii="Times New Roman" w:hAnsi="Times New Roman" w:cs="Times New Roman"/>
      <w:sz w:val="24"/>
      <w:szCs w:val="24"/>
    </w:rPr>
  </w:style>
  <w:style w:type="paragraph" w:styleId="Quote">
    <w:name w:val="Quote"/>
    <w:basedOn w:val="Normal"/>
    <w:next w:val="Normal"/>
    <w:link w:val="QuoteChar"/>
    <w:qFormat/>
    <w:rsid w:val="00E57751"/>
    <w:pPr>
      <w:spacing w:after="240"/>
      <w:ind w:left="1440" w:right="1440"/>
    </w:pPr>
    <w:rPr>
      <w:szCs w:val="20"/>
    </w:rPr>
  </w:style>
  <w:style w:type="character" w:customStyle="1" w:styleId="QuoteChar">
    <w:name w:val="Quote Char"/>
    <w:basedOn w:val="DefaultParagraphFont"/>
    <w:link w:val="Quote"/>
    <w:rsid w:val="00813F22"/>
    <w:rPr>
      <w:rFonts w:ascii="Times New Roman" w:hAnsi="Times New Roman" w:cs="Times New Roman"/>
      <w:sz w:val="24"/>
      <w:szCs w:val="20"/>
    </w:rPr>
  </w:style>
  <w:style w:type="paragraph" w:customStyle="1" w:styleId="Title3">
    <w:name w:val="Title 3"/>
    <w:basedOn w:val="Normal"/>
    <w:rsid w:val="00E57751"/>
    <w:pPr>
      <w:spacing w:after="240"/>
      <w:contextualSpacing/>
      <w:outlineLvl w:val="0"/>
    </w:pPr>
    <w:rPr>
      <w:rFonts w:hAnsi="Times New Roman Bold" w:cs="Arial"/>
      <w:b/>
      <w:bCs/>
      <w:u w:val="single"/>
    </w:rPr>
  </w:style>
  <w:style w:type="paragraph" w:styleId="Title">
    <w:name w:val="Title"/>
    <w:basedOn w:val="Normal"/>
    <w:link w:val="TitleChar"/>
    <w:qFormat/>
    <w:rsid w:val="00E57751"/>
    <w:pPr>
      <w:spacing w:after="240"/>
      <w:contextualSpacing/>
      <w:jc w:val="center"/>
      <w:outlineLvl w:val="0"/>
    </w:pPr>
    <w:rPr>
      <w:rFonts w:hAnsi="Times New Roman Bold" w:cs="Arial"/>
      <w:b/>
      <w:bCs/>
      <w:u w:val="single"/>
    </w:rPr>
  </w:style>
  <w:style w:type="character" w:customStyle="1" w:styleId="TitleChar">
    <w:name w:val="Title Char"/>
    <w:basedOn w:val="DefaultParagraphFont"/>
    <w:link w:val="Title"/>
    <w:rsid w:val="00813F22"/>
    <w:rPr>
      <w:rFonts w:ascii="Times New Roman" w:hAnsi="Times New Roman Bold" w:cs="Arial"/>
      <w:b/>
      <w:bCs/>
      <w:sz w:val="24"/>
      <w:szCs w:val="24"/>
      <w:u w:val="single"/>
    </w:rPr>
  </w:style>
  <w:style w:type="paragraph" w:customStyle="1" w:styleId="Title1">
    <w:name w:val="Title 1"/>
    <w:basedOn w:val="Normal"/>
    <w:rsid w:val="00E57751"/>
    <w:pPr>
      <w:spacing w:after="240"/>
      <w:contextualSpacing/>
      <w:jc w:val="center"/>
      <w:outlineLvl w:val="0"/>
    </w:pPr>
    <w:rPr>
      <w:rFonts w:hAnsi="Times New Roman Bold" w:cs="Arial"/>
      <w:b/>
      <w:bCs/>
    </w:rPr>
  </w:style>
  <w:style w:type="paragraph" w:customStyle="1" w:styleId="Title2">
    <w:name w:val="Title 2"/>
    <w:basedOn w:val="Normal"/>
    <w:rsid w:val="00E57751"/>
    <w:pPr>
      <w:spacing w:after="240"/>
      <w:contextualSpacing/>
      <w:jc w:val="center"/>
      <w:outlineLvl w:val="0"/>
    </w:pPr>
    <w:rPr>
      <w:rFonts w:cs="Arial"/>
      <w:bCs/>
      <w:u w:val="single"/>
    </w:rPr>
  </w:style>
  <w:style w:type="paragraph" w:customStyle="1" w:styleId="Title4">
    <w:name w:val="Title 4"/>
    <w:basedOn w:val="Normal"/>
    <w:rsid w:val="00E57751"/>
    <w:pPr>
      <w:spacing w:after="240"/>
      <w:contextualSpacing/>
      <w:outlineLvl w:val="0"/>
    </w:pPr>
    <w:rPr>
      <w:rFonts w:cs="Arial"/>
      <w:bCs/>
      <w:u w:val="single"/>
    </w:rPr>
  </w:style>
  <w:style w:type="paragraph" w:styleId="ListBullet">
    <w:name w:val="List Bullet"/>
    <w:basedOn w:val="Normal"/>
    <w:rsid w:val="00E57751"/>
    <w:pPr>
      <w:numPr>
        <w:numId w:val="1"/>
      </w:numPr>
      <w:tabs>
        <w:tab w:val="clear" w:pos="360"/>
        <w:tab w:val="left" w:pos="720"/>
      </w:tabs>
      <w:ind w:left="720" w:hanging="720"/>
    </w:pPr>
  </w:style>
  <w:style w:type="paragraph" w:customStyle="1" w:styleId="Title5">
    <w:name w:val="Title 5"/>
    <w:basedOn w:val="Title"/>
    <w:rsid w:val="00E57751"/>
    <w:pPr>
      <w:jc w:val="left"/>
    </w:pPr>
    <w:rPr>
      <w:u w:val="none"/>
    </w:rPr>
  </w:style>
  <w:style w:type="paragraph" w:styleId="ListBullet2">
    <w:name w:val="List Bullet 2"/>
    <w:basedOn w:val="ListBullet"/>
    <w:rsid w:val="00E57751"/>
    <w:pPr>
      <w:numPr>
        <w:numId w:val="2"/>
      </w:numPr>
      <w:tabs>
        <w:tab w:val="left" w:pos="720"/>
        <w:tab w:val="left" w:pos="1440"/>
      </w:tabs>
      <w:ind w:left="1440" w:hanging="720"/>
    </w:pPr>
  </w:style>
  <w:style w:type="paragraph" w:styleId="ListBullet3">
    <w:name w:val="List Bullet 3"/>
    <w:basedOn w:val="ListBullet"/>
    <w:rsid w:val="00E57751"/>
    <w:pPr>
      <w:numPr>
        <w:numId w:val="3"/>
      </w:numPr>
      <w:tabs>
        <w:tab w:val="clear" w:pos="1080"/>
        <w:tab w:val="left" w:pos="1440"/>
      </w:tabs>
      <w:ind w:left="2160" w:hanging="720"/>
    </w:pPr>
  </w:style>
  <w:style w:type="paragraph" w:styleId="ListNumber">
    <w:name w:val="List Number"/>
    <w:basedOn w:val="Normal"/>
    <w:rsid w:val="00E57751"/>
    <w:pPr>
      <w:numPr>
        <w:numId w:val="6"/>
      </w:numPr>
      <w:tabs>
        <w:tab w:val="clear" w:pos="360"/>
        <w:tab w:val="left" w:pos="720"/>
      </w:tabs>
      <w:spacing w:after="240"/>
      <w:ind w:left="720" w:hanging="720"/>
    </w:pPr>
  </w:style>
  <w:style w:type="paragraph" w:styleId="ListNumber2">
    <w:name w:val="List Number 2"/>
    <w:basedOn w:val="Normal"/>
    <w:rsid w:val="00E57751"/>
    <w:pPr>
      <w:numPr>
        <w:numId w:val="7"/>
      </w:numPr>
      <w:tabs>
        <w:tab w:val="left" w:pos="720"/>
        <w:tab w:val="left" w:pos="1440"/>
      </w:tabs>
      <w:spacing w:after="240"/>
      <w:ind w:left="1440" w:hanging="720"/>
    </w:pPr>
  </w:style>
  <w:style w:type="paragraph" w:styleId="ListNumber3">
    <w:name w:val="List Number 3"/>
    <w:basedOn w:val="Normal"/>
    <w:rsid w:val="00E57751"/>
    <w:pPr>
      <w:numPr>
        <w:numId w:val="8"/>
      </w:numPr>
      <w:tabs>
        <w:tab w:val="clear" w:pos="1080"/>
        <w:tab w:val="left" w:pos="720"/>
        <w:tab w:val="left" w:pos="1440"/>
      </w:tabs>
      <w:spacing w:after="240"/>
      <w:ind w:left="2160" w:hanging="720"/>
    </w:pPr>
  </w:style>
  <w:style w:type="paragraph" w:styleId="Header">
    <w:name w:val="header"/>
    <w:basedOn w:val="Normal"/>
    <w:link w:val="HeaderChar"/>
    <w:rsid w:val="00E57751"/>
    <w:pPr>
      <w:tabs>
        <w:tab w:val="center" w:pos="4320"/>
        <w:tab w:val="right" w:pos="8640"/>
      </w:tabs>
    </w:pPr>
  </w:style>
  <w:style w:type="character" w:customStyle="1" w:styleId="HeaderChar">
    <w:name w:val="Header Char"/>
    <w:basedOn w:val="DefaultParagraphFont"/>
    <w:link w:val="Header"/>
    <w:rsid w:val="00813F22"/>
    <w:rPr>
      <w:rFonts w:ascii="Times New Roman" w:hAnsi="Times New Roman" w:cs="Times New Roman"/>
      <w:sz w:val="24"/>
      <w:szCs w:val="24"/>
    </w:rPr>
  </w:style>
  <w:style w:type="paragraph" w:styleId="Footer">
    <w:name w:val="footer"/>
    <w:basedOn w:val="Normal"/>
    <w:link w:val="FooterChar"/>
    <w:uiPriority w:val="99"/>
    <w:rsid w:val="00E57751"/>
    <w:pPr>
      <w:tabs>
        <w:tab w:val="center" w:pos="4320"/>
        <w:tab w:val="right" w:pos="8640"/>
      </w:tabs>
    </w:pPr>
  </w:style>
  <w:style w:type="character" w:customStyle="1" w:styleId="FooterChar">
    <w:name w:val="Footer Char"/>
    <w:basedOn w:val="DefaultParagraphFont"/>
    <w:link w:val="Footer"/>
    <w:uiPriority w:val="99"/>
    <w:rsid w:val="00813F22"/>
    <w:rPr>
      <w:rFonts w:ascii="Times New Roman" w:hAnsi="Times New Roman" w:cs="Times New Roman"/>
      <w:sz w:val="24"/>
      <w:szCs w:val="24"/>
    </w:rPr>
  </w:style>
  <w:style w:type="character" w:customStyle="1" w:styleId="zzmpTrailerItem">
    <w:name w:val="zzmpTrailerItem"/>
    <w:basedOn w:val="DefaultParagraphFont"/>
    <w:rsid w:val="00B20254"/>
    <w:rPr>
      <w:rFonts w:ascii="Times New Roman" w:hAnsi="Times New Roman" w:cs="Times New Roman"/>
      <w:dstrike w:val="0"/>
      <w:noProof/>
      <w:color w:val="auto"/>
      <w:spacing w:val="0"/>
      <w:position w:val="0"/>
      <w:sz w:val="12"/>
      <w:szCs w:val="16"/>
      <w:u w:val="none"/>
      <w:effect w:val="none"/>
      <w:vertAlign w:val="baseline"/>
    </w:rPr>
  </w:style>
  <w:style w:type="paragraph" w:styleId="ListParagraph">
    <w:name w:val="List Paragraph"/>
    <w:basedOn w:val="Normal"/>
    <w:link w:val="ListParagraphChar"/>
    <w:uiPriority w:val="34"/>
    <w:qFormat/>
    <w:rsid w:val="0035435D"/>
    <w:pPr>
      <w:ind w:left="720"/>
      <w:contextualSpacing/>
    </w:pPr>
  </w:style>
  <w:style w:type="paragraph" w:customStyle="1" w:styleId="OutlineCont1">
    <w:name w:val="Outline Cont 1"/>
    <w:basedOn w:val="Normal"/>
    <w:link w:val="OutlineCont1Char"/>
    <w:rsid w:val="00EE7F5E"/>
    <w:pPr>
      <w:spacing w:after="240"/>
    </w:pPr>
    <w:rPr>
      <w:szCs w:val="20"/>
    </w:rPr>
  </w:style>
  <w:style w:type="character" w:customStyle="1" w:styleId="ListParagraphChar">
    <w:name w:val="List Paragraph Char"/>
    <w:basedOn w:val="DefaultParagraphFont"/>
    <w:link w:val="ListParagraph"/>
    <w:uiPriority w:val="34"/>
    <w:rsid w:val="00EE7F5E"/>
    <w:rPr>
      <w:rFonts w:ascii="Times New Roman" w:hAnsi="Times New Roman" w:cs="Times New Roman"/>
      <w:sz w:val="24"/>
      <w:szCs w:val="24"/>
    </w:rPr>
  </w:style>
  <w:style w:type="character" w:customStyle="1" w:styleId="OutlineCont1Char">
    <w:name w:val="Outline Cont 1 Char"/>
    <w:basedOn w:val="ListParagraphChar"/>
    <w:link w:val="OutlineCont1"/>
    <w:rsid w:val="00EE7F5E"/>
    <w:rPr>
      <w:rFonts w:ascii="Times New Roman" w:hAnsi="Times New Roman" w:cs="Times New Roman"/>
      <w:sz w:val="24"/>
      <w:szCs w:val="20"/>
    </w:rPr>
  </w:style>
  <w:style w:type="paragraph" w:customStyle="1" w:styleId="OutlineCont2">
    <w:name w:val="Outline Cont 2"/>
    <w:basedOn w:val="OutlineCont1"/>
    <w:link w:val="OutlineCont2Char"/>
    <w:rsid w:val="00EE7F5E"/>
  </w:style>
  <w:style w:type="character" w:customStyle="1" w:styleId="OutlineCont2Char">
    <w:name w:val="Outline Cont 2 Char"/>
    <w:basedOn w:val="ListParagraphChar"/>
    <w:link w:val="OutlineCont2"/>
    <w:rsid w:val="00EE7F5E"/>
    <w:rPr>
      <w:rFonts w:ascii="Times New Roman" w:hAnsi="Times New Roman" w:cs="Times New Roman"/>
      <w:sz w:val="24"/>
      <w:szCs w:val="20"/>
    </w:rPr>
  </w:style>
  <w:style w:type="paragraph" w:customStyle="1" w:styleId="OutlineCont3">
    <w:name w:val="Outline Cont 3"/>
    <w:basedOn w:val="OutlineCont2"/>
    <w:link w:val="OutlineCont3Char"/>
    <w:rsid w:val="00EE7F5E"/>
  </w:style>
  <w:style w:type="character" w:customStyle="1" w:styleId="OutlineCont3Char">
    <w:name w:val="Outline Cont 3 Char"/>
    <w:basedOn w:val="ListParagraphChar"/>
    <w:link w:val="OutlineCont3"/>
    <w:rsid w:val="00EE7F5E"/>
    <w:rPr>
      <w:rFonts w:ascii="Times New Roman" w:hAnsi="Times New Roman" w:cs="Times New Roman"/>
      <w:sz w:val="24"/>
      <w:szCs w:val="20"/>
    </w:rPr>
  </w:style>
  <w:style w:type="paragraph" w:customStyle="1" w:styleId="OutlineCont4">
    <w:name w:val="Outline Cont 4"/>
    <w:basedOn w:val="OutlineCont3"/>
    <w:link w:val="OutlineCont4Char"/>
    <w:rsid w:val="00EE7F5E"/>
  </w:style>
  <w:style w:type="character" w:customStyle="1" w:styleId="OutlineCont4Char">
    <w:name w:val="Outline Cont 4 Char"/>
    <w:basedOn w:val="ListParagraphChar"/>
    <w:link w:val="OutlineCont4"/>
    <w:rsid w:val="00EE7F5E"/>
    <w:rPr>
      <w:rFonts w:ascii="Times New Roman" w:hAnsi="Times New Roman" w:cs="Times New Roman"/>
      <w:sz w:val="24"/>
      <w:szCs w:val="20"/>
    </w:rPr>
  </w:style>
  <w:style w:type="paragraph" w:customStyle="1" w:styleId="OutlineCont5">
    <w:name w:val="Outline Cont 5"/>
    <w:basedOn w:val="OutlineCont4"/>
    <w:link w:val="OutlineCont5Char"/>
    <w:rsid w:val="00EE7F5E"/>
  </w:style>
  <w:style w:type="character" w:customStyle="1" w:styleId="OutlineCont5Char">
    <w:name w:val="Outline Cont 5 Char"/>
    <w:basedOn w:val="ListParagraphChar"/>
    <w:link w:val="OutlineCont5"/>
    <w:rsid w:val="00EE7F5E"/>
    <w:rPr>
      <w:rFonts w:ascii="Times New Roman" w:hAnsi="Times New Roman" w:cs="Times New Roman"/>
      <w:sz w:val="24"/>
      <w:szCs w:val="20"/>
    </w:rPr>
  </w:style>
  <w:style w:type="paragraph" w:customStyle="1" w:styleId="OutlineCont6">
    <w:name w:val="Outline Cont 6"/>
    <w:basedOn w:val="OutlineCont5"/>
    <w:link w:val="OutlineCont6Char"/>
    <w:rsid w:val="00EE7F5E"/>
  </w:style>
  <w:style w:type="character" w:customStyle="1" w:styleId="OutlineCont6Char">
    <w:name w:val="Outline Cont 6 Char"/>
    <w:basedOn w:val="ListParagraphChar"/>
    <w:link w:val="OutlineCont6"/>
    <w:rsid w:val="00EE7F5E"/>
    <w:rPr>
      <w:rFonts w:ascii="Times New Roman" w:hAnsi="Times New Roman" w:cs="Times New Roman"/>
      <w:sz w:val="24"/>
      <w:szCs w:val="20"/>
    </w:rPr>
  </w:style>
  <w:style w:type="paragraph" w:customStyle="1" w:styleId="OutlineCont7">
    <w:name w:val="Outline Cont 7"/>
    <w:basedOn w:val="OutlineCont6"/>
    <w:link w:val="OutlineCont7Char"/>
    <w:rsid w:val="00EE7F5E"/>
  </w:style>
  <w:style w:type="character" w:customStyle="1" w:styleId="OutlineCont7Char">
    <w:name w:val="Outline Cont 7 Char"/>
    <w:basedOn w:val="ListParagraphChar"/>
    <w:link w:val="OutlineCont7"/>
    <w:rsid w:val="00EE7F5E"/>
    <w:rPr>
      <w:rFonts w:ascii="Times New Roman" w:hAnsi="Times New Roman" w:cs="Times New Roman"/>
      <w:sz w:val="24"/>
      <w:szCs w:val="20"/>
    </w:rPr>
  </w:style>
  <w:style w:type="paragraph" w:customStyle="1" w:styleId="OutlineCont8">
    <w:name w:val="Outline Cont 8"/>
    <w:basedOn w:val="OutlineCont7"/>
    <w:link w:val="OutlineCont8Char"/>
    <w:rsid w:val="00EE7F5E"/>
  </w:style>
  <w:style w:type="character" w:customStyle="1" w:styleId="OutlineCont8Char">
    <w:name w:val="Outline Cont 8 Char"/>
    <w:basedOn w:val="ListParagraphChar"/>
    <w:link w:val="OutlineCont8"/>
    <w:rsid w:val="00EE7F5E"/>
    <w:rPr>
      <w:rFonts w:ascii="Times New Roman" w:hAnsi="Times New Roman" w:cs="Times New Roman"/>
      <w:sz w:val="24"/>
      <w:szCs w:val="20"/>
    </w:rPr>
  </w:style>
  <w:style w:type="paragraph" w:customStyle="1" w:styleId="OutlineCont9">
    <w:name w:val="Outline Cont 9"/>
    <w:basedOn w:val="OutlineCont8"/>
    <w:link w:val="OutlineCont9Char"/>
    <w:rsid w:val="00EE7F5E"/>
  </w:style>
  <w:style w:type="character" w:customStyle="1" w:styleId="OutlineCont9Char">
    <w:name w:val="Outline Cont 9 Char"/>
    <w:basedOn w:val="ListParagraphChar"/>
    <w:link w:val="OutlineCont9"/>
    <w:rsid w:val="00EE7F5E"/>
    <w:rPr>
      <w:rFonts w:ascii="Times New Roman" w:hAnsi="Times New Roman" w:cs="Times New Roman"/>
      <w:sz w:val="24"/>
      <w:szCs w:val="20"/>
    </w:rPr>
  </w:style>
  <w:style w:type="paragraph" w:customStyle="1" w:styleId="OutlineL1">
    <w:name w:val="Outline_L1"/>
    <w:basedOn w:val="Normal"/>
    <w:next w:val="BodyText"/>
    <w:link w:val="OutlineL1Char"/>
    <w:rsid w:val="00EE7F5E"/>
    <w:pPr>
      <w:numPr>
        <w:numId w:val="14"/>
      </w:numPr>
      <w:spacing w:after="240"/>
      <w:outlineLvl w:val="0"/>
    </w:pPr>
    <w:rPr>
      <w:szCs w:val="20"/>
    </w:rPr>
  </w:style>
  <w:style w:type="character" w:customStyle="1" w:styleId="OutlineL1Char">
    <w:name w:val="Outline_L1 Char"/>
    <w:basedOn w:val="ListParagraphChar"/>
    <w:link w:val="OutlineL1"/>
    <w:rsid w:val="00EE7F5E"/>
    <w:rPr>
      <w:rFonts w:ascii="Times New Roman" w:hAnsi="Times New Roman" w:cs="Times New Roman"/>
      <w:sz w:val="24"/>
      <w:szCs w:val="20"/>
    </w:rPr>
  </w:style>
  <w:style w:type="paragraph" w:customStyle="1" w:styleId="OutlineL2">
    <w:name w:val="Outline_L2"/>
    <w:basedOn w:val="OutlineL1"/>
    <w:next w:val="BodyText"/>
    <w:link w:val="OutlineL2Char"/>
    <w:rsid w:val="00EE7F5E"/>
    <w:pPr>
      <w:numPr>
        <w:ilvl w:val="1"/>
      </w:numPr>
      <w:outlineLvl w:val="1"/>
    </w:pPr>
  </w:style>
  <w:style w:type="character" w:customStyle="1" w:styleId="OutlineL2Char">
    <w:name w:val="Outline_L2 Char"/>
    <w:basedOn w:val="ListParagraphChar"/>
    <w:link w:val="OutlineL2"/>
    <w:rsid w:val="00EE7F5E"/>
    <w:rPr>
      <w:rFonts w:ascii="Times New Roman" w:hAnsi="Times New Roman" w:cs="Times New Roman"/>
      <w:sz w:val="24"/>
      <w:szCs w:val="20"/>
    </w:rPr>
  </w:style>
  <w:style w:type="paragraph" w:customStyle="1" w:styleId="OutlineL3">
    <w:name w:val="Outline_L3"/>
    <w:basedOn w:val="OutlineL2"/>
    <w:next w:val="BodyText"/>
    <w:link w:val="OutlineL3Char"/>
    <w:rsid w:val="00EE7F5E"/>
    <w:pPr>
      <w:numPr>
        <w:ilvl w:val="2"/>
      </w:numPr>
      <w:outlineLvl w:val="2"/>
    </w:pPr>
  </w:style>
  <w:style w:type="character" w:customStyle="1" w:styleId="OutlineL3Char">
    <w:name w:val="Outline_L3 Char"/>
    <w:basedOn w:val="ListParagraphChar"/>
    <w:link w:val="OutlineL3"/>
    <w:rsid w:val="00EE7F5E"/>
    <w:rPr>
      <w:rFonts w:ascii="Times New Roman" w:hAnsi="Times New Roman" w:cs="Times New Roman"/>
      <w:sz w:val="24"/>
      <w:szCs w:val="20"/>
    </w:rPr>
  </w:style>
  <w:style w:type="paragraph" w:customStyle="1" w:styleId="OutlineL4">
    <w:name w:val="Outline_L4"/>
    <w:basedOn w:val="OutlineL3"/>
    <w:next w:val="BodyText"/>
    <w:link w:val="OutlineL4Char"/>
    <w:rsid w:val="00EE7F5E"/>
    <w:pPr>
      <w:numPr>
        <w:ilvl w:val="3"/>
      </w:numPr>
      <w:outlineLvl w:val="3"/>
    </w:pPr>
  </w:style>
  <w:style w:type="character" w:customStyle="1" w:styleId="OutlineL4Char">
    <w:name w:val="Outline_L4 Char"/>
    <w:basedOn w:val="ListParagraphChar"/>
    <w:link w:val="OutlineL4"/>
    <w:rsid w:val="00EE7F5E"/>
    <w:rPr>
      <w:rFonts w:ascii="Times New Roman" w:hAnsi="Times New Roman" w:cs="Times New Roman"/>
      <w:sz w:val="24"/>
      <w:szCs w:val="20"/>
    </w:rPr>
  </w:style>
  <w:style w:type="paragraph" w:customStyle="1" w:styleId="OutlineL5">
    <w:name w:val="Outline_L5"/>
    <w:basedOn w:val="OutlineL4"/>
    <w:next w:val="BodyText"/>
    <w:link w:val="OutlineL5Char"/>
    <w:rsid w:val="00EE7F5E"/>
    <w:pPr>
      <w:numPr>
        <w:ilvl w:val="4"/>
      </w:numPr>
      <w:outlineLvl w:val="4"/>
    </w:pPr>
  </w:style>
  <w:style w:type="character" w:customStyle="1" w:styleId="OutlineL5Char">
    <w:name w:val="Outline_L5 Char"/>
    <w:basedOn w:val="ListParagraphChar"/>
    <w:link w:val="OutlineL5"/>
    <w:rsid w:val="00EE7F5E"/>
    <w:rPr>
      <w:rFonts w:ascii="Times New Roman" w:hAnsi="Times New Roman" w:cs="Times New Roman"/>
      <w:sz w:val="24"/>
      <w:szCs w:val="20"/>
    </w:rPr>
  </w:style>
  <w:style w:type="paragraph" w:customStyle="1" w:styleId="OutlineL6">
    <w:name w:val="Outline_L6"/>
    <w:basedOn w:val="OutlineL5"/>
    <w:next w:val="BodyText"/>
    <w:link w:val="OutlineL6Char"/>
    <w:rsid w:val="00EE7F5E"/>
    <w:pPr>
      <w:numPr>
        <w:ilvl w:val="5"/>
      </w:numPr>
      <w:outlineLvl w:val="5"/>
    </w:pPr>
  </w:style>
  <w:style w:type="character" w:customStyle="1" w:styleId="OutlineL6Char">
    <w:name w:val="Outline_L6 Char"/>
    <w:basedOn w:val="ListParagraphChar"/>
    <w:link w:val="OutlineL6"/>
    <w:rsid w:val="00EE7F5E"/>
    <w:rPr>
      <w:rFonts w:ascii="Times New Roman" w:hAnsi="Times New Roman" w:cs="Times New Roman"/>
      <w:sz w:val="24"/>
      <w:szCs w:val="20"/>
    </w:rPr>
  </w:style>
  <w:style w:type="paragraph" w:customStyle="1" w:styleId="OutlineL7">
    <w:name w:val="Outline_L7"/>
    <w:basedOn w:val="OutlineL6"/>
    <w:next w:val="BodyText"/>
    <w:link w:val="OutlineL7Char"/>
    <w:rsid w:val="00EE7F5E"/>
    <w:pPr>
      <w:numPr>
        <w:ilvl w:val="6"/>
      </w:numPr>
      <w:outlineLvl w:val="6"/>
    </w:pPr>
  </w:style>
  <w:style w:type="character" w:customStyle="1" w:styleId="OutlineL7Char">
    <w:name w:val="Outline_L7 Char"/>
    <w:basedOn w:val="ListParagraphChar"/>
    <w:link w:val="OutlineL7"/>
    <w:rsid w:val="00EE7F5E"/>
    <w:rPr>
      <w:rFonts w:ascii="Times New Roman" w:hAnsi="Times New Roman" w:cs="Times New Roman"/>
      <w:sz w:val="24"/>
      <w:szCs w:val="20"/>
    </w:rPr>
  </w:style>
  <w:style w:type="paragraph" w:customStyle="1" w:styleId="OutlineL8">
    <w:name w:val="Outline_L8"/>
    <w:basedOn w:val="OutlineL7"/>
    <w:next w:val="BodyText"/>
    <w:link w:val="OutlineL8Char"/>
    <w:rsid w:val="00EE7F5E"/>
    <w:pPr>
      <w:numPr>
        <w:ilvl w:val="7"/>
      </w:numPr>
      <w:outlineLvl w:val="7"/>
    </w:pPr>
  </w:style>
  <w:style w:type="character" w:customStyle="1" w:styleId="OutlineL8Char">
    <w:name w:val="Outline_L8 Char"/>
    <w:basedOn w:val="ListParagraphChar"/>
    <w:link w:val="OutlineL8"/>
    <w:rsid w:val="00EE7F5E"/>
    <w:rPr>
      <w:rFonts w:ascii="Times New Roman" w:hAnsi="Times New Roman" w:cs="Times New Roman"/>
      <w:sz w:val="24"/>
      <w:szCs w:val="20"/>
    </w:rPr>
  </w:style>
  <w:style w:type="paragraph" w:customStyle="1" w:styleId="OutlineL9">
    <w:name w:val="Outline_L9"/>
    <w:basedOn w:val="OutlineL8"/>
    <w:next w:val="BodyText"/>
    <w:link w:val="OutlineL9Char"/>
    <w:rsid w:val="00EE7F5E"/>
    <w:pPr>
      <w:numPr>
        <w:ilvl w:val="8"/>
      </w:numPr>
      <w:outlineLvl w:val="8"/>
    </w:pPr>
  </w:style>
  <w:style w:type="character" w:customStyle="1" w:styleId="OutlineL9Char">
    <w:name w:val="Outline_L9 Char"/>
    <w:basedOn w:val="ListParagraphChar"/>
    <w:link w:val="OutlineL9"/>
    <w:rsid w:val="00EE7F5E"/>
    <w:rPr>
      <w:rFonts w:ascii="Times New Roman" w:hAnsi="Times New Roman" w:cs="Times New Roman"/>
      <w:sz w:val="24"/>
      <w:szCs w:val="20"/>
    </w:rPr>
  </w:style>
  <w:style w:type="paragraph" w:styleId="EndnoteText">
    <w:name w:val="endnote text"/>
    <w:basedOn w:val="Normal"/>
    <w:link w:val="EndnoteTextChar"/>
    <w:uiPriority w:val="99"/>
    <w:semiHidden/>
    <w:unhideWhenUsed/>
    <w:rsid w:val="00614B1B"/>
    <w:rPr>
      <w:sz w:val="20"/>
      <w:szCs w:val="20"/>
    </w:rPr>
  </w:style>
  <w:style w:type="character" w:customStyle="1" w:styleId="EndnoteTextChar">
    <w:name w:val="Endnote Text Char"/>
    <w:basedOn w:val="DefaultParagraphFont"/>
    <w:link w:val="EndnoteText"/>
    <w:uiPriority w:val="99"/>
    <w:semiHidden/>
    <w:rsid w:val="00614B1B"/>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14B1B"/>
    <w:rPr>
      <w:vertAlign w:val="superscript"/>
    </w:rPr>
  </w:style>
  <w:style w:type="paragraph" w:styleId="FootnoteText">
    <w:name w:val="footnote text"/>
    <w:basedOn w:val="Normal"/>
    <w:link w:val="FootnoteTextChar"/>
    <w:uiPriority w:val="99"/>
    <w:unhideWhenUsed/>
    <w:rsid w:val="00212C52"/>
    <w:rPr>
      <w:sz w:val="20"/>
      <w:szCs w:val="20"/>
    </w:rPr>
  </w:style>
  <w:style w:type="character" w:customStyle="1" w:styleId="FootnoteTextChar">
    <w:name w:val="Footnote Text Char"/>
    <w:basedOn w:val="DefaultParagraphFont"/>
    <w:link w:val="FootnoteText"/>
    <w:uiPriority w:val="99"/>
    <w:rsid w:val="00212C52"/>
    <w:rPr>
      <w:rFonts w:ascii="Times New Roman" w:hAnsi="Times New Roman" w:cs="Times New Roman"/>
      <w:sz w:val="20"/>
      <w:szCs w:val="20"/>
    </w:rPr>
  </w:style>
  <w:style w:type="character" w:styleId="FootnoteReference">
    <w:name w:val="footnote reference"/>
    <w:basedOn w:val="DefaultParagraphFont"/>
    <w:uiPriority w:val="99"/>
    <w:unhideWhenUsed/>
    <w:rsid w:val="00212C52"/>
    <w:rPr>
      <w:vertAlign w:val="superscript"/>
    </w:rPr>
  </w:style>
  <w:style w:type="character" w:styleId="Hyperlink">
    <w:name w:val="Hyperlink"/>
    <w:basedOn w:val="DefaultParagraphFont"/>
    <w:uiPriority w:val="99"/>
    <w:unhideWhenUsed/>
    <w:rsid w:val="00A80A44"/>
    <w:rPr>
      <w:color w:val="0000FF" w:themeColor="hyperlink"/>
      <w:u w:val="single"/>
    </w:rPr>
  </w:style>
  <w:style w:type="table" w:styleId="TableGrid">
    <w:name w:val="Table Grid"/>
    <w:basedOn w:val="TableNormal"/>
    <w:uiPriority w:val="59"/>
    <w:rsid w:val="00A63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2A71"/>
    <w:rPr>
      <w:rFonts w:ascii="Tahoma" w:hAnsi="Tahoma" w:cs="Tahoma"/>
      <w:sz w:val="16"/>
      <w:szCs w:val="16"/>
    </w:rPr>
  </w:style>
  <w:style w:type="character" w:customStyle="1" w:styleId="BalloonTextChar">
    <w:name w:val="Balloon Text Char"/>
    <w:basedOn w:val="DefaultParagraphFont"/>
    <w:link w:val="BalloonText"/>
    <w:uiPriority w:val="99"/>
    <w:semiHidden/>
    <w:rsid w:val="00AB2A71"/>
    <w:rPr>
      <w:rFonts w:ascii="Tahoma" w:hAnsi="Tahoma" w:cs="Tahoma"/>
      <w:sz w:val="16"/>
      <w:szCs w:val="16"/>
    </w:rPr>
  </w:style>
  <w:style w:type="paragraph" w:styleId="NormalWeb">
    <w:name w:val="Normal (Web)"/>
    <w:basedOn w:val="Normal"/>
    <w:uiPriority w:val="99"/>
    <w:unhideWhenUsed/>
    <w:rsid w:val="0074609A"/>
    <w:pPr>
      <w:spacing w:before="100" w:beforeAutospacing="1" w:after="100" w:afterAutospacing="1"/>
    </w:pPr>
    <w:rPr>
      <w:rFonts w:ascii="Times" w:eastAsiaTheme="minorEastAsia" w:hAnsi="Times"/>
      <w:sz w:val="20"/>
      <w:szCs w:val="20"/>
    </w:rPr>
  </w:style>
  <w:style w:type="paragraph" w:styleId="HTMLPreformatted">
    <w:name w:val="HTML Preformatted"/>
    <w:basedOn w:val="Normal"/>
    <w:link w:val="HTMLPreformattedChar"/>
    <w:uiPriority w:val="99"/>
    <w:unhideWhenUsed/>
    <w:rsid w:val="0074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74609A"/>
    <w:rPr>
      <w:rFonts w:ascii="Courier" w:eastAsiaTheme="minorEastAsia" w:hAnsi="Courier" w:cs="Courier"/>
      <w:sz w:val="20"/>
      <w:szCs w:val="20"/>
    </w:rPr>
  </w:style>
  <w:style w:type="character" w:customStyle="1" w:styleId="ptext-3">
    <w:name w:val="ptext-3"/>
    <w:basedOn w:val="DefaultParagraphFont"/>
    <w:rsid w:val="0074609A"/>
  </w:style>
  <w:style w:type="character" w:customStyle="1" w:styleId="apple-converted-space">
    <w:name w:val="apple-converted-space"/>
    <w:basedOn w:val="DefaultParagraphFont"/>
    <w:rsid w:val="00B10F8F"/>
  </w:style>
  <w:style w:type="character" w:styleId="Emphasis">
    <w:name w:val="Emphasis"/>
    <w:basedOn w:val="DefaultParagraphFont"/>
    <w:uiPriority w:val="20"/>
    <w:qFormat/>
    <w:rsid w:val="009C019B"/>
    <w:rPr>
      <w:i/>
      <w:iCs/>
    </w:rPr>
  </w:style>
</w:styles>
</file>

<file path=word/webSettings.xml><?xml version="1.0" encoding="utf-8"?>
<w:webSettings xmlns:r="http://schemas.openxmlformats.org/officeDocument/2006/relationships" xmlns:w="http://schemas.openxmlformats.org/wordprocessingml/2006/main">
  <w:divs>
    <w:div w:id="1208519">
      <w:bodyDiv w:val="1"/>
      <w:marLeft w:val="30"/>
      <w:marRight w:val="30"/>
      <w:marTop w:val="30"/>
      <w:marBottom w:val="30"/>
      <w:divBdr>
        <w:top w:val="none" w:sz="0" w:space="0" w:color="auto"/>
        <w:left w:val="none" w:sz="0" w:space="0" w:color="auto"/>
        <w:bottom w:val="none" w:sz="0" w:space="0" w:color="auto"/>
        <w:right w:val="none" w:sz="0" w:space="0" w:color="auto"/>
      </w:divBdr>
      <w:divsChild>
        <w:div w:id="1971326894">
          <w:marLeft w:val="0"/>
          <w:marRight w:val="0"/>
          <w:marTop w:val="0"/>
          <w:marBottom w:val="480"/>
          <w:divBdr>
            <w:top w:val="single" w:sz="18" w:space="24" w:color="000000"/>
            <w:left w:val="single" w:sz="18" w:space="24" w:color="000000"/>
            <w:bottom w:val="single" w:sz="18" w:space="24" w:color="000000"/>
            <w:right w:val="single" w:sz="18" w:space="0" w:color="000000"/>
          </w:divBdr>
        </w:div>
      </w:divsChild>
    </w:div>
    <w:div w:id="225532716">
      <w:bodyDiv w:val="1"/>
      <w:marLeft w:val="30"/>
      <w:marRight w:val="30"/>
      <w:marTop w:val="30"/>
      <w:marBottom w:val="30"/>
      <w:divBdr>
        <w:top w:val="none" w:sz="0" w:space="0" w:color="auto"/>
        <w:left w:val="none" w:sz="0" w:space="0" w:color="auto"/>
        <w:bottom w:val="none" w:sz="0" w:space="0" w:color="auto"/>
        <w:right w:val="none" w:sz="0" w:space="0" w:color="auto"/>
      </w:divBdr>
      <w:divsChild>
        <w:div w:id="2072922761">
          <w:marLeft w:val="0"/>
          <w:marRight w:val="0"/>
          <w:marTop w:val="0"/>
          <w:marBottom w:val="480"/>
          <w:divBdr>
            <w:top w:val="single" w:sz="18" w:space="24" w:color="000000"/>
            <w:left w:val="single" w:sz="18" w:space="24" w:color="000000"/>
            <w:bottom w:val="single" w:sz="18" w:space="24" w:color="000000"/>
            <w:right w:val="single" w:sz="18" w:space="0" w:color="000000"/>
          </w:divBdr>
        </w:div>
      </w:divsChild>
    </w:div>
    <w:div w:id="254676608">
      <w:bodyDiv w:val="1"/>
      <w:marLeft w:val="0"/>
      <w:marRight w:val="0"/>
      <w:marTop w:val="0"/>
      <w:marBottom w:val="0"/>
      <w:divBdr>
        <w:top w:val="none" w:sz="0" w:space="0" w:color="auto"/>
        <w:left w:val="none" w:sz="0" w:space="0" w:color="auto"/>
        <w:bottom w:val="none" w:sz="0" w:space="0" w:color="auto"/>
        <w:right w:val="none" w:sz="0" w:space="0" w:color="auto"/>
      </w:divBdr>
      <w:divsChild>
        <w:div w:id="170069113">
          <w:marLeft w:val="0"/>
          <w:marRight w:val="0"/>
          <w:marTop w:val="0"/>
          <w:marBottom w:val="0"/>
          <w:divBdr>
            <w:top w:val="none" w:sz="0" w:space="0" w:color="auto"/>
            <w:left w:val="none" w:sz="0" w:space="0" w:color="auto"/>
            <w:bottom w:val="none" w:sz="0" w:space="0" w:color="auto"/>
            <w:right w:val="none" w:sz="0" w:space="0" w:color="auto"/>
          </w:divBdr>
          <w:divsChild>
            <w:div w:id="476806179">
              <w:marLeft w:val="0"/>
              <w:marRight w:val="0"/>
              <w:marTop w:val="0"/>
              <w:marBottom w:val="0"/>
              <w:divBdr>
                <w:top w:val="none" w:sz="0" w:space="0" w:color="auto"/>
                <w:left w:val="none" w:sz="0" w:space="0" w:color="auto"/>
                <w:bottom w:val="none" w:sz="0" w:space="0" w:color="auto"/>
                <w:right w:val="none" w:sz="0" w:space="0" w:color="auto"/>
              </w:divBdr>
              <w:divsChild>
                <w:div w:id="15962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0996">
      <w:bodyDiv w:val="1"/>
      <w:marLeft w:val="0"/>
      <w:marRight w:val="0"/>
      <w:marTop w:val="0"/>
      <w:marBottom w:val="0"/>
      <w:divBdr>
        <w:top w:val="none" w:sz="0" w:space="0" w:color="auto"/>
        <w:left w:val="none" w:sz="0" w:space="0" w:color="auto"/>
        <w:bottom w:val="none" w:sz="0" w:space="0" w:color="auto"/>
        <w:right w:val="none" w:sz="0" w:space="0" w:color="auto"/>
      </w:divBdr>
      <w:divsChild>
        <w:div w:id="1114710265">
          <w:marLeft w:val="0"/>
          <w:marRight w:val="0"/>
          <w:marTop w:val="0"/>
          <w:marBottom w:val="0"/>
          <w:divBdr>
            <w:top w:val="none" w:sz="0" w:space="0" w:color="auto"/>
            <w:left w:val="none" w:sz="0" w:space="0" w:color="auto"/>
            <w:bottom w:val="none" w:sz="0" w:space="0" w:color="auto"/>
            <w:right w:val="none" w:sz="0" w:space="0" w:color="auto"/>
          </w:divBdr>
          <w:divsChild>
            <w:div w:id="24252752">
              <w:marLeft w:val="0"/>
              <w:marRight w:val="0"/>
              <w:marTop w:val="0"/>
              <w:marBottom w:val="0"/>
              <w:divBdr>
                <w:top w:val="none" w:sz="0" w:space="0" w:color="auto"/>
                <w:left w:val="none" w:sz="0" w:space="0" w:color="auto"/>
                <w:bottom w:val="none" w:sz="0" w:space="0" w:color="auto"/>
                <w:right w:val="none" w:sz="0" w:space="0" w:color="auto"/>
              </w:divBdr>
              <w:divsChild>
                <w:div w:id="1332365931">
                  <w:marLeft w:val="0"/>
                  <w:marRight w:val="0"/>
                  <w:marTop w:val="0"/>
                  <w:marBottom w:val="0"/>
                  <w:divBdr>
                    <w:top w:val="none" w:sz="0" w:space="0" w:color="auto"/>
                    <w:left w:val="none" w:sz="0" w:space="0" w:color="auto"/>
                    <w:bottom w:val="none" w:sz="0" w:space="0" w:color="auto"/>
                    <w:right w:val="none" w:sz="0" w:space="0" w:color="auto"/>
                  </w:divBdr>
                  <w:divsChild>
                    <w:div w:id="2008289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3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4522960">
      <w:bodyDiv w:val="1"/>
      <w:marLeft w:val="0"/>
      <w:marRight w:val="0"/>
      <w:marTop w:val="0"/>
      <w:marBottom w:val="0"/>
      <w:divBdr>
        <w:top w:val="none" w:sz="0" w:space="0" w:color="auto"/>
        <w:left w:val="none" w:sz="0" w:space="0" w:color="auto"/>
        <w:bottom w:val="none" w:sz="0" w:space="0" w:color="auto"/>
        <w:right w:val="none" w:sz="0" w:space="0" w:color="auto"/>
      </w:divBdr>
    </w:div>
    <w:div w:id="476605804">
      <w:bodyDiv w:val="1"/>
      <w:marLeft w:val="0"/>
      <w:marRight w:val="0"/>
      <w:marTop w:val="0"/>
      <w:marBottom w:val="0"/>
      <w:divBdr>
        <w:top w:val="none" w:sz="0" w:space="0" w:color="auto"/>
        <w:left w:val="none" w:sz="0" w:space="0" w:color="auto"/>
        <w:bottom w:val="none" w:sz="0" w:space="0" w:color="auto"/>
        <w:right w:val="none" w:sz="0" w:space="0" w:color="auto"/>
      </w:divBdr>
      <w:divsChild>
        <w:div w:id="811365131">
          <w:marLeft w:val="0"/>
          <w:marRight w:val="0"/>
          <w:marTop w:val="0"/>
          <w:marBottom w:val="0"/>
          <w:divBdr>
            <w:top w:val="none" w:sz="0" w:space="0" w:color="auto"/>
            <w:left w:val="none" w:sz="0" w:space="0" w:color="auto"/>
            <w:bottom w:val="none" w:sz="0" w:space="0" w:color="auto"/>
            <w:right w:val="none" w:sz="0" w:space="0" w:color="auto"/>
          </w:divBdr>
          <w:divsChild>
            <w:div w:id="537475524">
              <w:marLeft w:val="0"/>
              <w:marRight w:val="0"/>
              <w:marTop w:val="0"/>
              <w:marBottom w:val="480"/>
              <w:divBdr>
                <w:top w:val="single" w:sz="6" w:space="0" w:color="000000"/>
                <w:left w:val="single" w:sz="6" w:space="0" w:color="000000"/>
                <w:bottom w:val="single" w:sz="6" w:space="0" w:color="000000"/>
                <w:right w:val="single" w:sz="6" w:space="0" w:color="000000"/>
              </w:divBdr>
            </w:div>
          </w:divsChild>
        </w:div>
      </w:divsChild>
    </w:div>
    <w:div w:id="562830758">
      <w:bodyDiv w:val="1"/>
      <w:marLeft w:val="0"/>
      <w:marRight w:val="0"/>
      <w:marTop w:val="0"/>
      <w:marBottom w:val="0"/>
      <w:divBdr>
        <w:top w:val="none" w:sz="0" w:space="0" w:color="auto"/>
        <w:left w:val="none" w:sz="0" w:space="0" w:color="auto"/>
        <w:bottom w:val="none" w:sz="0" w:space="0" w:color="auto"/>
        <w:right w:val="none" w:sz="0" w:space="0" w:color="auto"/>
      </w:divBdr>
    </w:div>
    <w:div w:id="577788609">
      <w:bodyDiv w:val="1"/>
      <w:marLeft w:val="0"/>
      <w:marRight w:val="0"/>
      <w:marTop w:val="0"/>
      <w:marBottom w:val="0"/>
      <w:divBdr>
        <w:top w:val="none" w:sz="0" w:space="0" w:color="auto"/>
        <w:left w:val="none" w:sz="0" w:space="0" w:color="auto"/>
        <w:bottom w:val="none" w:sz="0" w:space="0" w:color="auto"/>
        <w:right w:val="none" w:sz="0" w:space="0" w:color="auto"/>
      </w:divBdr>
      <w:divsChild>
        <w:div w:id="224609626">
          <w:marLeft w:val="0"/>
          <w:marRight w:val="0"/>
          <w:marTop w:val="0"/>
          <w:marBottom w:val="0"/>
          <w:divBdr>
            <w:top w:val="none" w:sz="0" w:space="0" w:color="auto"/>
            <w:left w:val="none" w:sz="0" w:space="0" w:color="auto"/>
            <w:bottom w:val="none" w:sz="0" w:space="0" w:color="auto"/>
            <w:right w:val="none" w:sz="0" w:space="0" w:color="auto"/>
          </w:divBdr>
          <w:divsChild>
            <w:div w:id="1615744496">
              <w:marLeft w:val="0"/>
              <w:marRight w:val="0"/>
              <w:marTop w:val="0"/>
              <w:marBottom w:val="0"/>
              <w:divBdr>
                <w:top w:val="none" w:sz="0" w:space="0" w:color="auto"/>
                <w:left w:val="none" w:sz="0" w:space="0" w:color="auto"/>
                <w:bottom w:val="none" w:sz="0" w:space="0" w:color="auto"/>
                <w:right w:val="none" w:sz="0" w:space="0" w:color="auto"/>
              </w:divBdr>
              <w:divsChild>
                <w:div w:id="1912426614">
                  <w:marLeft w:val="0"/>
                  <w:marRight w:val="120"/>
                  <w:marTop w:val="0"/>
                  <w:marBottom w:val="0"/>
                  <w:divBdr>
                    <w:top w:val="none" w:sz="0" w:space="0" w:color="auto"/>
                    <w:left w:val="none" w:sz="0" w:space="0" w:color="auto"/>
                    <w:bottom w:val="none" w:sz="0" w:space="0" w:color="auto"/>
                    <w:right w:val="none" w:sz="0" w:space="0" w:color="auto"/>
                  </w:divBdr>
                  <w:divsChild>
                    <w:div w:id="2116123820">
                      <w:marLeft w:val="0"/>
                      <w:marRight w:val="0"/>
                      <w:marTop w:val="0"/>
                      <w:marBottom w:val="0"/>
                      <w:divBdr>
                        <w:top w:val="none" w:sz="0" w:space="0" w:color="auto"/>
                        <w:left w:val="none" w:sz="0" w:space="0" w:color="auto"/>
                        <w:bottom w:val="none" w:sz="0" w:space="0" w:color="auto"/>
                        <w:right w:val="none" w:sz="0" w:space="0" w:color="auto"/>
                      </w:divBdr>
                      <w:divsChild>
                        <w:div w:id="117727689">
                          <w:marLeft w:val="0"/>
                          <w:marRight w:val="0"/>
                          <w:marTop w:val="0"/>
                          <w:marBottom w:val="0"/>
                          <w:divBdr>
                            <w:top w:val="none" w:sz="0" w:space="0" w:color="auto"/>
                            <w:left w:val="none" w:sz="0" w:space="0" w:color="auto"/>
                            <w:bottom w:val="none" w:sz="0" w:space="0" w:color="auto"/>
                            <w:right w:val="none" w:sz="0" w:space="0" w:color="auto"/>
                          </w:divBdr>
                          <w:divsChild>
                            <w:div w:id="389963653">
                              <w:marLeft w:val="0"/>
                              <w:marRight w:val="0"/>
                              <w:marTop w:val="0"/>
                              <w:marBottom w:val="0"/>
                              <w:divBdr>
                                <w:top w:val="none" w:sz="0" w:space="0" w:color="auto"/>
                                <w:left w:val="none" w:sz="0" w:space="0" w:color="auto"/>
                                <w:bottom w:val="none" w:sz="0" w:space="0" w:color="auto"/>
                                <w:right w:val="none" w:sz="0" w:space="0" w:color="auto"/>
                              </w:divBdr>
                              <w:divsChild>
                                <w:div w:id="2022970110">
                                  <w:marLeft w:val="0"/>
                                  <w:marRight w:val="0"/>
                                  <w:marTop w:val="0"/>
                                  <w:marBottom w:val="0"/>
                                  <w:divBdr>
                                    <w:top w:val="none" w:sz="0" w:space="0" w:color="auto"/>
                                    <w:left w:val="none" w:sz="0" w:space="0" w:color="auto"/>
                                    <w:bottom w:val="none" w:sz="0" w:space="0" w:color="auto"/>
                                    <w:right w:val="none" w:sz="0" w:space="0" w:color="auto"/>
                                  </w:divBdr>
                                  <w:divsChild>
                                    <w:div w:id="9915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84161">
      <w:bodyDiv w:val="1"/>
      <w:marLeft w:val="0"/>
      <w:marRight w:val="0"/>
      <w:marTop w:val="0"/>
      <w:marBottom w:val="0"/>
      <w:divBdr>
        <w:top w:val="none" w:sz="0" w:space="0" w:color="auto"/>
        <w:left w:val="none" w:sz="0" w:space="0" w:color="auto"/>
        <w:bottom w:val="none" w:sz="0" w:space="0" w:color="auto"/>
        <w:right w:val="none" w:sz="0" w:space="0" w:color="auto"/>
      </w:divBdr>
      <w:divsChild>
        <w:div w:id="1380783994">
          <w:marLeft w:val="0"/>
          <w:marRight w:val="0"/>
          <w:marTop w:val="0"/>
          <w:marBottom w:val="0"/>
          <w:divBdr>
            <w:top w:val="none" w:sz="0" w:space="0" w:color="auto"/>
            <w:left w:val="none" w:sz="0" w:space="0" w:color="auto"/>
            <w:bottom w:val="none" w:sz="0" w:space="0" w:color="auto"/>
            <w:right w:val="none" w:sz="0" w:space="0" w:color="auto"/>
          </w:divBdr>
          <w:divsChild>
            <w:div w:id="1996954511">
              <w:marLeft w:val="0"/>
              <w:marRight w:val="0"/>
              <w:marTop w:val="0"/>
              <w:marBottom w:val="0"/>
              <w:divBdr>
                <w:top w:val="none" w:sz="0" w:space="0" w:color="auto"/>
                <w:left w:val="none" w:sz="0" w:space="0" w:color="auto"/>
                <w:bottom w:val="none" w:sz="0" w:space="0" w:color="auto"/>
                <w:right w:val="none" w:sz="0" w:space="0" w:color="auto"/>
              </w:divBdr>
              <w:divsChild>
                <w:div w:id="1833064594">
                  <w:marLeft w:val="0"/>
                  <w:marRight w:val="120"/>
                  <w:marTop w:val="0"/>
                  <w:marBottom w:val="0"/>
                  <w:divBdr>
                    <w:top w:val="none" w:sz="0" w:space="0" w:color="auto"/>
                    <w:left w:val="none" w:sz="0" w:space="0" w:color="auto"/>
                    <w:bottom w:val="none" w:sz="0" w:space="0" w:color="auto"/>
                    <w:right w:val="none" w:sz="0" w:space="0" w:color="auto"/>
                  </w:divBdr>
                  <w:divsChild>
                    <w:div w:id="1150439963">
                      <w:marLeft w:val="0"/>
                      <w:marRight w:val="0"/>
                      <w:marTop w:val="0"/>
                      <w:marBottom w:val="0"/>
                      <w:divBdr>
                        <w:top w:val="none" w:sz="0" w:space="0" w:color="auto"/>
                        <w:left w:val="none" w:sz="0" w:space="0" w:color="auto"/>
                        <w:bottom w:val="none" w:sz="0" w:space="0" w:color="auto"/>
                        <w:right w:val="none" w:sz="0" w:space="0" w:color="auto"/>
                      </w:divBdr>
                      <w:divsChild>
                        <w:div w:id="1792481760">
                          <w:marLeft w:val="0"/>
                          <w:marRight w:val="0"/>
                          <w:marTop w:val="0"/>
                          <w:marBottom w:val="0"/>
                          <w:divBdr>
                            <w:top w:val="none" w:sz="0" w:space="0" w:color="auto"/>
                            <w:left w:val="none" w:sz="0" w:space="0" w:color="auto"/>
                            <w:bottom w:val="none" w:sz="0" w:space="0" w:color="auto"/>
                            <w:right w:val="none" w:sz="0" w:space="0" w:color="auto"/>
                          </w:divBdr>
                          <w:divsChild>
                            <w:div w:id="1030106882">
                              <w:marLeft w:val="0"/>
                              <w:marRight w:val="0"/>
                              <w:marTop w:val="0"/>
                              <w:marBottom w:val="0"/>
                              <w:divBdr>
                                <w:top w:val="none" w:sz="0" w:space="0" w:color="auto"/>
                                <w:left w:val="none" w:sz="0" w:space="0" w:color="auto"/>
                                <w:bottom w:val="none" w:sz="0" w:space="0" w:color="auto"/>
                                <w:right w:val="none" w:sz="0" w:space="0" w:color="auto"/>
                              </w:divBdr>
                              <w:divsChild>
                                <w:div w:id="1766926340">
                                  <w:marLeft w:val="0"/>
                                  <w:marRight w:val="0"/>
                                  <w:marTop w:val="0"/>
                                  <w:marBottom w:val="0"/>
                                  <w:divBdr>
                                    <w:top w:val="none" w:sz="0" w:space="0" w:color="auto"/>
                                    <w:left w:val="none" w:sz="0" w:space="0" w:color="auto"/>
                                    <w:bottom w:val="none" w:sz="0" w:space="0" w:color="auto"/>
                                    <w:right w:val="none" w:sz="0" w:space="0" w:color="auto"/>
                                  </w:divBdr>
                                  <w:divsChild>
                                    <w:div w:id="2982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428264">
      <w:bodyDiv w:val="1"/>
      <w:marLeft w:val="0"/>
      <w:marRight w:val="0"/>
      <w:marTop w:val="0"/>
      <w:marBottom w:val="0"/>
      <w:divBdr>
        <w:top w:val="none" w:sz="0" w:space="0" w:color="auto"/>
        <w:left w:val="none" w:sz="0" w:space="0" w:color="auto"/>
        <w:bottom w:val="none" w:sz="0" w:space="0" w:color="auto"/>
        <w:right w:val="none" w:sz="0" w:space="0" w:color="auto"/>
      </w:divBdr>
      <w:divsChild>
        <w:div w:id="1984389499">
          <w:marLeft w:val="0"/>
          <w:marRight w:val="0"/>
          <w:marTop w:val="0"/>
          <w:marBottom w:val="0"/>
          <w:divBdr>
            <w:top w:val="none" w:sz="0" w:space="0" w:color="auto"/>
            <w:left w:val="none" w:sz="0" w:space="0" w:color="auto"/>
            <w:bottom w:val="none" w:sz="0" w:space="0" w:color="auto"/>
            <w:right w:val="none" w:sz="0" w:space="0" w:color="auto"/>
          </w:divBdr>
          <w:divsChild>
            <w:div w:id="1642534012">
              <w:marLeft w:val="0"/>
              <w:marRight w:val="0"/>
              <w:marTop w:val="0"/>
              <w:marBottom w:val="480"/>
              <w:divBdr>
                <w:top w:val="single" w:sz="6" w:space="0" w:color="000000"/>
                <w:left w:val="single" w:sz="6" w:space="0" w:color="000000"/>
                <w:bottom w:val="single" w:sz="6" w:space="0" w:color="000000"/>
                <w:right w:val="single" w:sz="6" w:space="0" w:color="000000"/>
              </w:divBdr>
            </w:div>
          </w:divsChild>
        </w:div>
      </w:divsChild>
    </w:div>
    <w:div w:id="1167087682">
      <w:bodyDiv w:val="1"/>
      <w:marLeft w:val="0"/>
      <w:marRight w:val="0"/>
      <w:marTop w:val="0"/>
      <w:marBottom w:val="0"/>
      <w:divBdr>
        <w:top w:val="none" w:sz="0" w:space="0" w:color="auto"/>
        <w:left w:val="none" w:sz="0" w:space="0" w:color="auto"/>
        <w:bottom w:val="none" w:sz="0" w:space="0" w:color="auto"/>
        <w:right w:val="none" w:sz="0" w:space="0" w:color="auto"/>
      </w:divBdr>
      <w:divsChild>
        <w:div w:id="427309088">
          <w:marLeft w:val="0"/>
          <w:marRight w:val="0"/>
          <w:marTop w:val="0"/>
          <w:marBottom w:val="0"/>
          <w:divBdr>
            <w:top w:val="none" w:sz="0" w:space="0" w:color="auto"/>
            <w:left w:val="none" w:sz="0" w:space="0" w:color="auto"/>
            <w:bottom w:val="none" w:sz="0" w:space="0" w:color="auto"/>
            <w:right w:val="none" w:sz="0" w:space="0" w:color="auto"/>
          </w:divBdr>
          <w:divsChild>
            <w:div w:id="1823543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5605714">
      <w:bodyDiv w:val="1"/>
      <w:marLeft w:val="0"/>
      <w:marRight w:val="0"/>
      <w:marTop w:val="0"/>
      <w:marBottom w:val="0"/>
      <w:divBdr>
        <w:top w:val="none" w:sz="0" w:space="0" w:color="auto"/>
        <w:left w:val="none" w:sz="0" w:space="0" w:color="auto"/>
        <w:bottom w:val="none" w:sz="0" w:space="0" w:color="auto"/>
        <w:right w:val="none" w:sz="0" w:space="0" w:color="auto"/>
      </w:divBdr>
      <w:divsChild>
        <w:div w:id="940339947">
          <w:marLeft w:val="0"/>
          <w:marRight w:val="0"/>
          <w:marTop w:val="0"/>
          <w:marBottom w:val="0"/>
          <w:divBdr>
            <w:top w:val="none" w:sz="0" w:space="0" w:color="auto"/>
            <w:left w:val="none" w:sz="0" w:space="0" w:color="auto"/>
            <w:bottom w:val="none" w:sz="0" w:space="0" w:color="auto"/>
            <w:right w:val="none" w:sz="0" w:space="0" w:color="auto"/>
          </w:divBdr>
          <w:divsChild>
            <w:div w:id="745420742">
              <w:marLeft w:val="0"/>
              <w:marRight w:val="0"/>
              <w:marTop w:val="0"/>
              <w:marBottom w:val="0"/>
              <w:divBdr>
                <w:top w:val="none" w:sz="0" w:space="0" w:color="auto"/>
                <w:left w:val="none" w:sz="0" w:space="0" w:color="auto"/>
                <w:bottom w:val="none" w:sz="0" w:space="0" w:color="auto"/>
                <w:right w:val="none" w:sz="0" w:space="0" w:color="auto"/>
              </w:divBdr>
              <w:divsChild>
                <w:div w:id="12732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20176">
      <w:bodyDiv w:val="1"/>
      <w:marLeft w:val="0"/>
      <w:marRight w:val="0"/>
      <w:marTop w:val="0"/>
      <w:marBottom w:val="0"/>
      <w:divBdr>
        <w:top w:val="none" w:sz="0" w:space="0" w:color="auto"/>
        <w:left w:val="none" w:sz="0" w:space="0" w:color="auto"/>
        <w:bottom w:val="none" w:sz="0" w:space="0" w:color="auto"/>
        <w:right w:val="none" w:sz="0" w:space="0" w:color="auto"/>
      </w:divBdr>
      <w:divsChild>
        <w:div w:id="1836410098">
          <w:marLeft w:val="0"/>
          <w:marRight w:val="0"/>
          <w:marTop w:val="0"/>
          <w:marBottom w:val="0"/>
          <w:divBdr>
            <w:top w:val="none" w:sz="0" w:space="0" w:color="auto"/>
            <w:left w:val="none" w:sz="0" w:space="0" w:color="auto"/>
            <w:bottom w:val="none" w:sz="0" w:space="0" w:color="auto"/>
            <w:right w:val="none" w:sz="0" w:space="0" w:color="auto"/>
          </w:divBdr>
          <w:divsChild>
            <w:div w:id="1833834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1791529">
      <w:bodyDiv w:val="1"/>
      <w:marLeft w:val="0"/>
      <w:marRight w:val="0"/>
      <w:marTop w:val="0"/>
      <w:marBottom w:val="0"/>
      <w:divBdr>
        <w:top w:val="none" w:sz="0" w:space="0" w:color="auto"/>
        <w:left w:val="none" w:sz="0" w:space="0" w:color="auto"/>
        <w:bottom w:val="none" w:sz="0" w:space="0" w:color="auto"/>
        <w:right w:val="none" w:sz="0" w:space="0" w:color="auto"/>
      </w:divBdr>
      <w:divsChild>
        <w:div w:id="1259605549">
          <w:marLeft w:val="0"/>
          <w:marRight w:val="0"/>
          <w:marTop w:val="0"/>
          <w:marBottom w:val="0"/>
          <w:divBdr>
            <w:top w:val="none" w:sz="0" w:space="0" w:color="auto"/>
            <w:left w:val="none" w:sz="0" w:space="0" w:color="auto"/>
            <w:bottom w:val="none" w:sz="0" w:space="0" w:color="auto"/>
            <w:right w:val="none" w:sz="0" w:space="0" w:color="auto"/>
          </w:divBdr>
          <w:divsChild>
            <w:div w:id="600921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9018087">
      <w:bodyDiv w:val="1"/>
      <w:marLeft w:val="0"/>
      <w:marRight w:val="0"/>
      <w:marTop w:val="0"/>
      <w:marBottom w:val="0"/>
      <w:divBdr>
        <w:top w:val="none" w:sz="0" w:space="0" w:color="auto"/>
        <w:left w:val="none" w:sz="0" w:space="0" w:color="auto"/>
        <w:bottom w:val="none" w:sz="0" w:space="0" w:color="auto"/>
        <w:right w:val="none" w:sz="0" w:space="0" w:color="auto"/>
      </w:divBdr>
      <w:divsChild>
        <w:div w:id="1052534546">
          <w:marLeft w:val="0"/>
          <w:marRight w:val="0"/>
          <w:marTop w:val="0"/>
          <w:marBottom w:val="0"/>
          <w:divBdr>
            <w:top w:val="none" w:sz="0" w:space="0" w:color="auto"/>
            <w:left w:val="none" w:sz="0" w:space="0" w:color="auto"/>
            <w:bottom w:val="none" w:sz="0" w:space="0" w:color="auto"/>
            <w:right w:val="none" w:sz="0" w:space="0" w:color="auto"/>
          </w:divBdr>
          <w:divsChild>
            <w:div w:id="1662586035">
              <w:marLeft w:val="0"/>
              <w:marRight w:val="0"/>
              <w:marTop w:val="0"/>
              <w:marBottom w:val="0"/>
              <w:divBdr>
                <w:top w:val="none" w:sz="0" w:space="0" w:color="auto"/>
                <w:left w:val="none" w:sz="0" w:space="0" w:color="auto"/>
                <w:bottom w:val="none" w:sz="0" w:space="0" w:color="auto"/>
                <w:right w:val="none" w:sz="0" w:space="0" w:color="auto"/>
              </w:divBdr>
              <w:divsChild>
                <w:div w:id="928150085">
                  <w:marLeft w:val="0"/>
                  <w:marRight w:val="120"/>
                  <w:marTop w:val="0"/>
                  <w:marBottom w:val="0"/>
                  <w:divBdr>
                    <w:top w:val="none" w:sz="0" w:space="0" w:color="auto"/>
                    <w:left w:val="none" w:sz="0" w:space="0" w:color="auto"/>
                    <w:bottom w:val="none" w:sz="0" w:space="0" w:color="auto"/>
                    <w:right w:val="none" w:sz="0" w:space="0" w:color="auto"/>
                  </w:divBdr>
                  <w:divsChild>
                    <w:div w:id="1264267879">
                      <w:marLeft w:val="0"/>
                      <w:marRight w:val="0"/>
                      <w:marTop w:val="0"/>
                      <w:marBottom w:val="0"/>
                      <w:divBdr>
                        <w:top w:val="none" w:sz="0" w:space="0" w:color="auto"/>
                        <w:left w:val="none" w:sz="0" w:space="0" w:color="auto"/>
                        <w:bottom w:val="none" w:sz="0" w:space="0" w:color="auto"/>
                        <w:right w:val="none" w:sz="0" w:space="0" w:color="auto"/>
                      </w:divBdr>
                      <w:divsChild>
                        <w:div w:id="1091389233">
                          <w:marLeft w:val="0"/>
                          <w:marRight w:val="0"/>
                          <w:marTop w:val="0"/>
                          <w:marBottom w:val="0"/>
                          <w:divBdr>
                            <w:top w:val="none" w:sz="0" w:space="0" w:color="auto"/>
                            <w:left w:val="none" w:sz="0" w:space="0" w:color="auto"/>
                            <w:bottom w:val="none" w:sz="0" w:space="0" w:color="auto"/>
                            <w:right w:val="none" w:sz="0" w:space="0" w:color="auto"/>
                          </w:divBdr>
                          <w:divsChild>
                            <w:div w:id="448165541">
                              <w:marLeft w:val="0"/>
                              <w:marRight w:val="0"/>
                              <w:marTop w:val="0"/>
                              <w:marBottom w:val="0"/>
                              <w:divBdr>
                                <w:top w:val="none" w:sz="0" w:space="0" w:color="auto"/>
                                <w:left w:val="none" w:sz="0" w:space="0" w:color="auto"/>
                                <w:bottom w:val="none" w:sz="0" w:space="0" w:color="auto"/>
                                <w:right w:val="none" w:sz="0" w:space="0" w:color="auto"/>
                              </w:divBdr>
                              <w:divsChild>
                                <w:div w:id="1007829414">
                                  <w:marLeft w:val="0"/>
                                  <w:marRight w:val="0"/>
                                  <w:marTop w:val="0"/>
                                  <w:marBottom w:val="0"/>
                                  <w:divBdr>
                                    <w:top w:val="none" w:sz="0" w:space="0" w:color="auto"/>
                                    <w:left w:val="none" w:sz="0" w:space="0" w:color="auto"/>
                                    <w:bottom w:val="none" w:sz="0" w:space="0" w:color="auto"/>
                                    <w:right w:val="none" w:sz="0" w:space="0" w:color="auto"/>
                                  </w:divBdr>
                                  <w:divsChild>
                                    <w:div w:id="6703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777543">
      <w:bodyDiv w:val="1"/>
      <w:marLeft w:val="0"/>
      <w:marRight w:val="0"/>
      <w:marTop w:val="0"/>
      <w:marBottom w:val="0"/>
      <w:divBdr>
        <w:top w:val="none" w:sz="0" w:space="0" w:color="auto"/>
        <w:left w:val="none" w:sz="0" w:space="0" w:color="auto"/>
        <w:bottom w:val="none" w:sz="0" w:space="0" w:color="auto"/>
        <w:right w:val="none" w:sz="0" w:space="0" w:color="auto"/>
      </w:divBdr>
    </w:div>
    <w:div w:id="1800873496">
      <w:bodyDiv w:val="1"/>
      <w:marLeft w:val="0"/>
      <w:marRight w:val="0"/>
      <w:marTop w:val="0"/>
      <w:marBottom w:val="0"/>
      <w:divBdr>
        <w:top w:val="none" w:sz="0" w:space="0" w:color="auto"/>
        <w:left w:val="none" w:sz="0" w:space="0" w:color="auto"/>
        <w:bottom w:val="none" w:sz="0" w:space="0" w:color="auto"/>
        <w:right w:val="none" w:sz="0" w:space="0" w:color="auto"/>
      </w:divBdr>
      <w:divsChild>
        <w:div w:id="1429764898">
          <w:marLeft w:val="0"/>
          <w:marRight w:val="0"/>
          <w:marTop w:val="0"/>
          <w:marBottom w:val="0"/>
          <w:divBdr>
            <w:top w:val="none" w:sz="0" w:space="0" w:color="auto"/>
            <w:left w:val="none" w:sz="0" w:space="0" w:color="auto"/>
            <w:bottom w:val="none" w:sz="0" w:space="0" w:color="auto"/>
            <w:right w:val="none" w:sz="0" w:space="0" w:color="auto"/>
          </w:divBdr>
          <w:divsChild>
            <w:div w:id="509415531">
              <w:marLeft w:val="0"/>
              <w:marRight w:val="0"/>
              <w:marTop w:val="0"/>
              <w:marBottom w:val="0"/>
              <w:divBdr>
                <w:top w:val="none" w:sz="0" w:space="0" w:color="auto"/>
                <w:left w:val="none" w:sz="0" w:space="0" w:color="auto"/>
                <w:bottom w:val="none" w:sz="0" w:space="0" w:color="auto"/>
                <w:right w:val="none" w:sz="0" w:space="0" w:color="auto"/>
              </w:divBdr>
              <w:divsChild>
                <w:div w:id="1466393621">
                  <w:marLeft w:val="0"/>
                  <w:marRight w:val="0"/>
                  <w:marTop w:val="0"/>
                  <w:marBottom w:val="0"/>
                  <w:divBdr>
                    <w:top w:val="none" w:sz="0" w:space="0" w:color="auto"/>
                    <w:left w:val="none" w:sz="0" w:space="0" w:color="auto"/>
                    <w:bottom w:val="none" w:sz="0" w:space="0" w:color="auto"/>
                    <w:right w:val="none" w:sz="0" w:space="0" w:color="auto"/>
                  </w:divBdr>
                  <w:divsChild>
                    <w:div w:id="44126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452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23303520">
      <w:bodyDiv w:val="1"/>
      <w:marLeft w:val="0"/>
      <w:marRight w:val="0"/>
      <w:marTop w:val="0"/>
      <w:marBottom w:val="0"/>
      <w:divBdr>
        <w:top w:val="none" w:sz="0" w:space="0" w:color="auto"/>
        <w:left w:val="none" w:sz="0" w:space="0" w:color="auto"/>
        <w:bottom w:val="none" w:sz="0" w:space="0" w:color="auto"/>
        <w:right w:val="none" w:sz="0" w:space="0" w:color="auto"/>
      </w:divBdr>
      <w:divsChild>
        <w:div w:id="1209680990">
          <w:marLeft w:val="0"/>
          <w:marRight w:val="0"/>
          <w:marTop w:val="0"/>
          <w:marBottom w:val="0"/>
          <w:divBdr>
            <w:top w:val="none" w:sz="0" w:space="0" w:color="auto"/>
            <w:left w:val="none" w:sz="0" w:space="0" w:color="auto"/>
            <w:bottom w:val="none" w:sz="0" w:space="0" w:color="auto"/>
            <w:right w:val="none" w:sz="0" w:space="0" w:color="auto"/>
          </w:divBdr>
          <w:divsChild>
            <w:div w:id="1236284171">
              <w:marLeft w:val="0"/>
              <w:marRight w:val="0"/>
              <w:marTop w:val="0"/>
              <w:marBottom w:val="0"/>
              <w:divBdr>
                <w:top w:val="none" w:sz="0" w:space="0" w:color="auto"/>
                <w:left w:val="none" w:sz="0" w:space="0" w:color="auto"/>
                <w:bottom w:val="none" w:sz="0" w:space="0" w:color="auto"/>
                <w:right w:val="none" w:sz="0" w:space="0" w:color="auto"/>
              </w:divBdr>
              <w:divsChild>
                <w:div w:id="10177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51602">
      <w:bodyDiv w:val="1"/>
      <w:marLeft w:val="30"/>
      <w:marRight w:val="30"/>
      <w:marTop w:val="30"/>
      <w:marBottom w:val="30"/>
      <w:divBdr>
        <w:top w:val="none" w:sz="0" w:space="0" w:color="auto"/>
        <w:left w:val="none" w:sz="0" w:space="0" w:color="auto"/>
        <w:bottom w:val="none" w:sz="0" w:space="0" w:color="auto"/>
        <w:right w:val="none" w:sz="0" w:space="0" w:color="auto"/>
      </w:divBdr>
      <w:divsChild>
        <w:div w:id="207689482">
          <w:marLeft w:val="0"/>
          <w:marRight w:val="0"/>
          <w:marTop w:val="0"/>
          <w:marBottom w:val="480"/>
          <w:divBdr>
            <w:top w:val="single" w:sz="18" w:space="24" w:color="000000"/>
            <w:left w:val="single" w:sz="18" w:space="24" w:color="000000"/>
            <w:bottom w:val="single" w:sz="18" w:space="24" w:color="000000"/>
            <w:right w:val="single" w:sz="18" w:space="0" w:color="000000"/>
          </w:divBdr>
        </w:div>
      </w:divsChild>
    </w:div>
    <w:div w:id="1920020860">
      <w:bodyDiv w:val="1"/>
      <w:marLeft w:val="0"/>
      <w:marRight w:val="0"/>
      <w:marTop w:val="0"/>
      <w:marBottom w:val="0"/>
      <w:divBdr>
        <w:top w:val="none" w:sz="0" w:space="0" w:color="auto"/>
        <w:left w:val="none" w:sz="0" w:space="0" w:color="auto"/>
        <w:bottom w:val="none" w:sz="0" w:space="0" w:color="auto"/>
        <w:right w:val="none" w:sz="0" w:space="0" w:color="auto"/>
      </w:divBdr>
      <w:divsChild>
        <w:div w:id="282078334">
          <w:marLeft w:val="0"/>
          <w:marRight w:val="0"/>
          <w:marTop w:val="0"/>
          <w:marBottom w:val="0"/>
          <w:divBdr>
            <w:top w:val="none" w:sz="0" w:space="0" w:color="auto"/>
            <w:left w:val="none" w:sz="0" w:space="0" w:color="auto"/>
            <w:bottom w:val="none" w:sz="0" w:space="0" w:color="auto"/>
            <w:right w:val="none" w:sz="0" w:space="0" w:color="auto"/>
          </w:divBdr>
          <w:divsChild>
            <w:div w:id="20211369">
              <w:marLeft w:val="0"/>
              <w:marRight w:val="0"/>
              <w:marTop w:val="480"/>
              <w:marBottom w:val="0"/>
              <w:divBdr>
                <w:top w:val="none" w:sz="0" w:space="0" w:color="auto"/>
                <w:left w:val="none" w:sz="0" w:space="0" w:color="auto"/>
                <w:bottom w:val="none" w:sz="0" w:space="0" w:color="auto"/>
                <w:right w:val="none" w:sz="0" w:space="0" w:color="auto"/>
              </w:divBdr>
              <w:divsChild>
                <w:div w:id="2088722382">
                  <w:marLeft w:val="0"/>
                  <w:marRight w:val="0"/>
                  <w:marTop w:val="480"/>
                  <w:marBottom w:val="100"/>
                  <w:divBdr>
                    <w:top w:val="none" w:sz="0" w:space="0" w:color="auto"/>
                    <w:left w:val="none" w:sz="0" w:space="0" w:color="auto"/>
                    <w:bottom w:val="none" w:sz="0" w:space="0" w:color="auto"/>
                    <w:right w:val="none" w:sz="0" w:space="0" w:color="auto"/>
                  </w:divBdr>
                </w:div>
              </w:divsChild>
            </w:div>
          </w:divsChild>
        </w:div>
      </w:divsChild>
    </w:div>
    <w:div w:id="2032417439">
      <w:bodyDiv w:val="1"/>
      <w:marLeft w:val="0"/>
      <w:marRight w:val="0"/>
      <w:marTop w:val="0"/>
      <w:marBottom w:val="0"/>
      <w:divBdr>
        <w:top w:val="none" w:sz="0" w:space="0" w:color="auto"/>
        <w:left w:val="none" w:sz="0" w:space="0" w:color="auto"/>
        <w:bottom w:val="none" w:sz="0" w:space="0" w:color="auto"/>
        <w:right w:val="none" w:sz="0" w:space="0" w:color="auto"/>
      </w:divBdr>
      <w:divsChild>
        <w:div w:id="913465304">
          <w:marLeft w:val="0"/>
          <w:marRight w:val="0"/>
          <w:marTop w:val="0"/>
          <w:marBottom w:val="0"/>
          <w:divBdr>
            <w:top w:val="none" w:sz="0" w:space="0" w:color="auto"/>
            <w:left w:val="none" w:sz="0" w:space="0" w:color="auto"/>
            <w:bottom w:val="none" w:sz="0" w:space="0" w:color="auto"/>
            <w:right w:val="none" w:sz="0" w:space="0" w:color="auto"/>
          </w:divBdr>
          <w:divsChild>
            <w:div w:id="1722317013">
              <w:marLeft w:val="0"/>
              <w:marRight w:val="0"/>
              <w:marTop w:val="0"/>
              <w:marBottom w:val="0"/>
              <w:divBdr>
                <w:top w:val="none" w:sz="0" w:space="0" w:color="auto"/>
                <w:left w:val="none" w:sz="0" w:space="0" w:color="auto"/>
                <w:bottom w:val="none" w:sz="0" w:space="0" w:color="auto"/>
                <w:right w:val="none" w:sz="0" w:space="0" w:color="auto"/>
              </w:divBdr>
              <w:divsChild>
                <w:div w:id="1670012650">
                  <w:marLeft w:val="0"/>
                  <w:marRight w:val="120"/>
                  <w:marTop w:val="0"/>
                  <w:marBottom w:val="0"/>
                  <w:divBdr>
                    <w:top w:val="none" w:sz="0" w:space="0" w:color="auto"/>
                    <w:left w:val="none" w:sz="0" w:space="0" w:color="auto"/>
                    <w:bottom w:val="none" w:sz="0" w:space="0" w:color="auto"/>
                    <w:right w:val="none" w:sz="0" w:space="0" w:color="auto"/>
                  </w:divBdr>
                  <w:divsChild>
                    <w:div w:id="457451025">
                      <w:marLeft w:val="0"/>
                      <w:marRight w:val="0"/>
                      <w:marTop w:val="0"/>
                      <w:marBottom w:val="0"/>
                      <w:divBdr>
                        <w:top w:val="none" w:sz="0" w:space="0" w:color="auto"/>
                        <w:left w:val="none" w:sz="0" w:space="0" w:color="auto"/>
                        <w:bottom w:val="none" w:sz="0" w:space="0" w:color="auto"/>
                        <w:right w:val="none" w:sz="0" w:space="0" w:color="auto"/>
                      </w:divBdr>
                      <w:divsChild>
                        <w:div w:id="392241298">
                          <w:marLeft w:val="0"/>
                          <w:marRight w:val="0"/>
                          <w:marTop w:val="0"/>
                          <w:marBottom w:val="0"/>
                          <w:divBdr>
                            <w:top w:val="none" w:sz="0" w:space="0" w:color="auto"/>
                            <w:left w:val="none" w:sz="0" w:space="0" w:color="auto"/>
                            <w:bottom w:val="none" w:sz="0" w:space="0" w:color="auto"/>
                            <w:right w:val="none" w:sz="0" w:space="0" w:color="auto"/>
                          </w:divBdr>
                          <w:divsChild>
                            <w:div w:id="2005276244">
                              <w:marLeft w:val="0"/>
                              <w:marRight w:val="0"/>
                              <w:marTop w:val="0"/>
                              <w:marBottom w:val="0"/>
                              <w:divBdr>
                                <w:top w:val="none" w:sz="0" w:space="0" w:color="auto"/>
                                <w:left w:val="none" w:sz="0" w:space="0" w:color="auto"/>
                                <w:bottom w:val="none" w:sz="0" w:space="0" w:color="auto"/>
                                <w:right w:val="none" w:sz="0" w:space="0" w:color="auto"/>
                              </w:divBdr>
                              <w:divsChild>
                                <w:div w:id="1241132552">
                                  <w:marLeft w:val="0"/>
                                  <w:marRight w:val="0"/>
                                  <w:marTop w:val="0"/>
                                  <w:marBottom w:val="0"/>
                                  <w:divBdr>
                                    <w:top w:val="none" w:sz="0" w:space="0" w:color="auto"/>
                                    <w:left w:val="none" w:sz="0" w:space="0" w:color="auto"/>
                                    <w:bottom w:val="none" w:sz="0" w:space="0" w:color="auto"/>
                                    <w:right w:val="none" w:sz="0" w:space="0" w:color="auto"/>
                                  </w:divBdr>
                                  <w:divsChild>
                                    <w:div w:id="327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access-board.gov/images/guidelines_standards/Buildings_Sites/ada-standards/ADA-AB60.gif"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4.png"/><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1053AFF" w:usb1="0000008D" w:usb2="00000000" w:usb3="00000000" w:csb0="006609FF" w:csb1="00BD5CC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9038E"/>
    <w:rsid w:val="00F903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2244FD57A041718C91F87F46A269B5">
    <w:name w:val="0C2244FD57A041718C91F87F46A269B5"/>
    <w:rsid w:val="00F9038E"/>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BCDC1-5082-4F7F-8B51-98E969BD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11678</Words>
  <Characters>66570</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78092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Shiloh London</dc:creator>
  <cp:lastModifiedBy>slondon</cp:lastModifiedBy>
  <cp:revision>2</cp:revision>
  <cp:lastPrinted>2016-03-11T18:50:00Z</cp:lastPrinted>
  <dcterms:created xsi:type="dcterms:W3CDTF">2016-04-06T19:02:00Z</dcterms:created>
  <dcterms:modified xsi:type="dcterms:W3CDTF">2016-04-06T19:02:00Z</dcterms:modified>
</cp:coreProperties>
</file>